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0335D">
      <w:pPr>
        <w:jc w:val="left"/>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（GF—201</w:t>
      </w:r>
      <w:r>
        <w:rPr>
          <w:rFonts w:hint="eastAsia" w:ascii="仿宋" w:hAnsi="仿宋" w:eastAsia="仿宋" w:cs="仿宋"/>
          <w:b/>
          <w:bCs w:val="0"/>
          <w:color w:val="auto"/>
          <w:sz w:val="32"/>
          <w:szCs w:val="32"/>
          <w:lang w:val="en-US" w:eastAsia="zh-CN"/>
        </w:rPr>
        <w:t>7</w:t>
      </w:r>
      <w:r>
        <w:rPr>
          <w:rFonts w:hint="eastAsia" w:ascii="仿宋" w:hAnsi="仿宋" w:eastAsia="仿宋" w:cs="仿宋"/>
          <w:b/>
          <w:bCs w:val="0"/>
          <w:color w:val="auto"/>
          <w:sz w:val="32"/>
          <w:szCs w:val="32"/>
        </w:rPr>
        <w:t>—</w:t>
      </w:r>
      <w:r>
        <w:rPr>
          <w:rFonts w:hint="eastAsia" w:ascii="仿宋" w:hAnsi="仿宋" w:eastAsia="仿宋" w:cs="仿宋"/>
          <w:b/>
          <w:bCs w:val="0"/>
          <w:color w:val="auto"/>
          <w:sz w:val="32"/>
          <w:szCs w:val="32"/>
          <w:lang w:val="en-US" w:eastAsia="zh-CN"/>
        </w:rPr>
        <w:t>0201</w:t>
      </w:r>
      <w:r>
        <w:rPr>
          <w:rFonts w:hint="eastAsia" w:ascii="仿宋" w:hAnsi="仿宋" w:eastAsia="仿宋" w:cs="仿宋"/>
          <w:b/>
          <w:bCs w:val="0"/>
          <w:color w:val="auto"/>
          <w:sz w:val="32"/>
          <w:szCs w:val="32"/>
        </w:rPr>
        <w:t>）</w:t>
      </w:r>
    </w:p>
    <w:p w14:paraId="71D81CFF">
      <w:pPr>
        <w:jc w:val="center"/>
        <w:rPr>
          <w:rFonts w:hint="eastAsia" w:ascii="仿宋" w:hAnsi="仿宋" w:eastAsia="仿宋" w:cs="仿宋"/>
          <w:b/>
          <w:color w:val="auto"/>
          <w:sz w:val="52"/>
          <w:szCs w:val="52"/>
        </w:rPr>
      </w:pPr>
    </w:p>
    <w:p w14:paraId="3A95AC62">
      <w:pPr>
        <w:jc w:val="center"/>
        <w:rPr>
          <w:rFonts w:hint="eastAsia" w:ascii="仿宋" w:hAnsi="仿宋" w:eastAsia="仿宋" w:cs="仿宋"/>
          <w:b/>
          <w:color w:val="auto"/>
          <w:sz w:val="52"/>
          <w:szCs w:val="52"/>
        </w:rPr>
      </w:pPr>
    </w:p>
    <w:p w14:paraId="68454DA0">
      <w:pPr>
        <w:jc w:val="center"/>
        <w:rPr>
          <w:rFonts w:hint="eastAsia" w:ascii="仿宋" w:hAnsi="仿宋" w:eastAsia="仿宋" w:cs="仿宋"/>
          <w:b/>
          <w:color w:val="auto"/>
          <w:sz w:val="52"/>
          <w:szCs w:val="52"/>
        </w:rPr>
      </w:pPr>
      <w:r>
        <w:rPr>
          <w:rFonts w:hint="eastAsia" w:ascii="仿宋" w:hAnsi="仿宋" w:eastAsia="仿宋" w:cs="仿宋"/>
          <w:b/>
          <w:color w:val="auto"/>
          <w:sz w:val="72"/>
          <w:szCs w:val="52"/>
        </w:rPr>
        <w:t>建设工程施工合同</w:t>
      </w:r>
      <w:r>
        <w:rPr>
          <w:rFonts w:hint="eastAsia" w:ascii="仿宋" w:hAnsi="仿宋" w:eastAsia="仿宋" w:cs="仿宋"/>
          <w:b/>
          <w:color w:val="auto"/>
          <w:sz w:val="52"/>
          <w:szCs w:val="52"/>
        </w:rPr>
        <w:br w:type="textWrapping"/>
      </w:r>
      <w:r>
        <w:rPr>
          <w:rFonts w:hint="eastAsia" w:ascii="仿宋" w:hAnsi="仿宋" w:eastAsia="仿宋" w:cs="仿宋"/>
          <w:b/>
          <w:color w:val="auto"/>
          <w:sz w:val="52"/>
          <w:szCs w:val="52"/>
        </w:rPr>
        <w:t>（示范文本）</w:t>
      </w:r>
    </w:p>
    <w:p w14:paraId="37BB0D7F">
      <w:pPr>
        <w:jc w:val="center"/>
        <w:rPr>
          <w:rFonts w:hint="eastAsia" w:ascii="仿宋" w:hAnsi="仿宋" w:eastAsia="仿宋" w:cs="仿宋"/>
          <w:b/>
          <w:color w:val="auto"/>
          <w:sz w:val="52"/>
          <w:szCs w:val="52"/>
        </w:rPr>
      </w:pPr>
    </w:p>
    <w:p w14:paraId="2827033A">
      <w:pPr>
        <w:jc w:val="center"/>
        <w:rPr>
          <w:rFonts w:hint="eastAsia" w:ascii="仿宋" w:hAnsi="仿宋" w:eastAsia="仿宋" w:cs="仿宋"/>
          <w:b/>
          <w:color w:val="auto"/>
          <w:sz w:val="72"/>
          <w:szCs w:val="72"/>
        </w:rPr>
      </w:pPr>
    </w:p>
    <w:p w14:paraId="37A2595F">
      <w:pPr>
        <w:jc w:val="center"/>
        <w:rPr>
          <w:rFonts w:hint="eastAsia" w:ascii="仿宋" w:hAnsi="仿宋" w:eastAsia="仿宋" w:cs="仿宋"/>
          <w:b/>
          <w:color w:val="auto"/>
          <w:sz w:val="72"/>
          <w:szCs w:val="72"/>
        </w:rPr>
      </w:pPr>
    </w:p>
    <w:p w14:paraId="613BA95B">
      <w:pPr>
        <w:jc w:val="center"/>
        <w:rPr>
          <w:rFonts w:hint="eastAsia" w:ascii="仿宋" w:hAnsi="仿宋" w:eastAsia="仿宋" w:cs="仿宋"/>
          <w:b/>
          <w:color w:val="auto"/>
          <w:sz w:val="52"/>
          <w:szCs w:val="52"/>
        </w:rPr>
      </w:pPr>
    </w:p>
    <w:p w14:paraId="3E684F87">
      <w:pPr>
        <w:rPr>
          <w:rFonts w:hint="eastAsia" w:ascii="仿宋" w:hAnsi="仿宋" w:eastAsia="仿宋" w:cs="仿宋"/>
          <w:b/>
          <w:color w:val="auto"/>
          <w:sz w:val="28"/>
          <w:szCs w:val="28"/>
        </w:rPr>
      </w:pPr>
    </w:p>
    <w:p w14:paraId="2BC62122">
      <w:pPr>
        <w:rPr>
          <w:rFonts w:hint="eastAsia" w:ascii="仿宋" w:hAnsi="仿宋" w:eastAsia="仿宋" w:cs="仿宋"/>
          <w:b/>
          <w:color w:val="auto"/>
          <w:sz w:val="28"/>
          <w:szCs w:val="28"/>
        </w:rPr>
      </w:pPr>
    </w:p>
    <w:p w14:paraId="2B8518AC">
      <w:pPr>
        <w:rPr>
          <w:rFonts w:hint="eastAsia" w:ascii="仿宋" w:hAnsi="仿宋" w:eastAsia="仿宋" w:cs="仿宋"/>
          <w:b/>
          <w:color w:val="auto"/>
          <w:sz w:val="28"/>
          <w:szCs w:val="28"/>
        </w:rPr>
      </w:pPr>
    </w:p>
    <w:p w14:paraId="7118FEF0">
      <w:pPr>
        <w:rPr>
          <w:rFonts w:hint="eastAsia" w:ascii="仿宋" w:hAnsi="仿宋" w:eastAsia="仿宋" w:cs="仿宋"/>
          <w:b/>
          <w:color w:val="auto"/>
          <w:sz w:val="28"/>
          <w:szCs w:val="28"/>
        </w:rPr>
      </w:pPr>
    </w:p>
    <w:p w14:paraId="0C2DD3F7">
      <w:pPr>
        <w:ind w:left="0" w:leftChars="0" w:right="2719" w:rightChars="1295" w:firstLine="2318" w:firstLineChars="1104"/>
        <w:jc w:val="distribute"/>
        <w:rPr>
          <w:rFonts w:hint="eastAsia" w:ascii="仿宋" w:hAnsi="仿宋" w:eastAsia="仿宋" w:cs="仿宋"/>
          <w:b/>
          <w:color w:val="auto"/>
          <w:sz w:val="32"/>
          <w:szCs w:val="28"/>
        </w:rPr>
      </w:pPr>
      <w:r>
        <w:rPr>
          <w:rFonts w:hint="eastAsia" w:ascii="仿宋" w:hAnsi="仿宋" w:eastAsia="仿宋" w:cs="仿宋"/>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B0150E6">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0B0150E6">
                      <w:pPr>
                        <w:rPr>
                          <w:rFonts w:hint="eastAsia"/>
                          <w:b/>
                          <w:bCs/>
                          <w:sz w:val="32"/>
                        </w:rPr>
                      </w:pPr>
                      <w:r>
                        <w:rPr>
                          <w:rFonts w:hint="eastAsia"/>
                          <w:b/>
                          <w:bCs/>
                          <w:sz w:val="32"/>
                        </w:rPr>
                        <w:t>制定</w:t>
                      </w:r>
                    </w:p>
                  </w:txbxContent>
                </v:textbox>
              </v:shape>
            </w:pict>
          </mc:Fallback>
        </mc:AlternateContent>
      </w:r>
      <w:r>
        <w:rPr>
          <w:rFonts w:hint="eastAsia" w:ascii="仿宋" w:hAnsi="仿宋" w:eastAsia="仿宋" w:cs="仿宋"/>
          <w:b/>
          <w:color w:val="auto"/>
          <w:sz w:val="32"/>
          <w:szCs w:val="28"/>
        </w:rPr>
        <w:t>住房城乡建设部</w:t>
      </w:r>
    </w:p>
    <w:p w14:paraId="3552C5F2">
      <w:pPr>
        <w:ind w:left="0" w:leftChars="0" w:right="2719" w:rightChars="1295" w:firstLine="2329" w:firstLineChars="725"/>
        <w:jc w:val="distribute"/>
        <w:rPr>
          <w:rFonts w:hint="eastAsia" w:ascii="仿宋" w:hAnsi="仿宋" w:eastAsia="仿宋" w:cs="仿宋"/>
          <w:b/>
          <w:color w:val="auto"/>
          <w:sz w:val="32"/>
          <w:szCs w:val="28"/>
        </w:rPr>
      </w:pPr>
      <w:r>
        <w:rPr>
          <w:rFonts w:hint="eastAsia" w:ascii="仿宋" w:hAnsi="仿宋" w:eastAsia="仿宋" w:cs="仿宋"/>
          <w:b/>
          <w:color w:val="auto"/>
          <w:sz w:val="32"/>
          <w:szCs w:val="28"/>
        </w:rPr>
        <w:t>国家工商行政管理总局</w:t>
      </w:r>
    </w:p>
    <w:p w14:paraId="0FB2EEFB">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14:paraId="54200FF7">
      <w:pPr>
        <w:numPr>
          <w:ilvl w:val="0"/>
          <w:numId w:val="0"/>
        </w:numPr>
        <w:spacing w:line="360" w:lineRule="auto"/>
        <w:jc w:val="center"/>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第一部分 合同协议书</w:t>
      </w:r>
    </w:p>
    <w:p w14:paraId="4FEC21F6">
      <w:pPr>
        <w:spacing w:line="360" w:lineRule="auto"/>
        <w:rPr>
          <w:rFonts w:hint="eastAsia" w:ascii="仿宋" w:hAnsi="仿宋" w:eastAsia="仿宋" w:cs="仿宋"/>
          <w:b/>
          <w:color w:val="auto"/>
          <w:sz w:val="24"/>
          <w:szCs w:val="24"/>
          <w:u w:val="single"/>
        </w:rPr>
      </w:pPr>
      <w:r>
        <w:rPr>
          <w:rFonts w:hint="eastAsia" w:ascii="仿宋" w:hAnsi="仿宋" w:eastAsia="仿宋" w:cs="仿宋"/>
          <w:b/>
          <w:color w:val="auto"/>
          <w:sz w:val="24"/>
          <w:szCs w:val="24"/>
        </w:rPr>
        <w:t>发包人（全称）：</w:t>
      </w:r>
      <w:r>
        <w:rPr>
          <w:rFonts w:hint="eastAsia" w:ascii="仿宋" w:hAnsi="仿宋" w:eastAsia="仿宋" w:cs="仿宋"/>
          <w:b/>
          <w:color w:val="auto"/>
          <w:sz w:val="24"/>
          <w:szCs w:val="24"/>
          <w:u w:val="single"/>
        </w:rPr>
        <w:t>                       </w:t>
      </w:r>
    </w:p>
    <w:p w14:paraId="505D897F">
      <w:pPr>
        <w:spacing w:line="360" w:lineRule="auto"/>
        <w:rPr>
          <w:rFonts w:hint="eastAsia" w:ascii="仿宋" w:hAnsi="仿宋" w:eastAsia="仿宋" w:cs="仿宋"/>
          <w:b/>
          <w:color w:val="auto"/>
          <w:sz w:val="24"/>
          <w:szCs w:val="24"/>
          <w:u w:val="single"/>
        </w:rPr>
      </w:pPr>
      <w:r>
        <w:rPr>
          <w:rFonts w:hint="eastAsia" w:ascii="仿宋" w:hAnsi="仿宋" w:eastAsia="仿宋" w:cs="仿宋"/>
          <w:b/>
          <w:color w:val="auto"/>
          <w:sz w:val="24"/>
          <w:szCs w:val="24"/>
        </w:rPr>
        <w:t>承包人（全称）：</w:t>
      </w:r>
      <w:r>
        <w:rPr>
          <w:rFonts w:hint="eastAsia" w:ascii="仿宋" w:hAnsi="仿宋" w:eastAsia="仿宋" w:cs="仿宋"/>
          <w:b/>
          <w:color w:val="auto"/>
          <w:sz w:val="24"/>
          <w:szCs w:val="24"/>
          <w:u w:val="single"/>
        </w:rPr>
        <w:t>                      </w:t>
      </w:r>
    </w:p>
    <w:p w14:paraId="7087A1E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根据《中华人民共和国</w:t>
      </w:r>
      <w:r>
        <w:rPr>
          <w:rFonts w:hint="eastAsia" w:ascii="仿宋" w:hAnsi="仿宋" w:eastAsia="仿宋" w:cs="仿宋"/>
          <w:color w:val="auto"/>
          <w:sz w:val="24"/>
          <w:szCs w:val="24"/>
          <w:lang w:val="en-US" w:eastAsia="zh-CN"/>
        </w:rPr>
        <w:t>民法典</w:t>
      </w:r>
      <w:r>
        <w:rPr>
          <w:rFonts w:hint="eastAsia" w:ascii="仿宋" w:hAnsi="仿宋" w:eastAsia="仿宋" w:cs="仿宋"/>
          <w:color w:val="auto"/>
          <w:sz w:val="24"/>
          <w:szCs w:val="24"/>
        </w:rPr>
        <w:t>》、《中华人民共和国建筑法》及有关法律规定，遵循平等、自愿、公平和诚实信用的原则，双方就</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工程施工及有关事项协商一致，共同达成如下协议：</w:t>
      </w:r>
    </w:p>
    <w:p w14:paraId="75D748D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0" w:name="_Toc351203481"/>
      <w:r>
        <w:rPr>
          <w:rFonts w:hint="eastAsia" w:ascii="仿宋" w:hAnsi="仿宋" w:eastAsia="仿宋" w:cs="仿宋"/>
          <w:b w:val="0"/>
          <w:color w:val="auto"/>
          <w:sz w:val="24"/>
          <w:szCs w:val="24"/>
        </w:rPr>
        <w:t>一、工程概况</w:t>
      </w:r>
      <w:bookmarkEnd w:id="0"/>
    </w:p>
    <w:p w14:paraId="3B4A50F4">
      <w:pPr>
        <w:spacing w:line="360" w:lineRule="auto"/>
        <w:ind w:firstLine="470" w:firstLineChars="196"/>
        <w:rPr>
          <w:rFonts w:hint="eastAsia" w:ascii="仿宋" w:hAnsi="仿宋" w:eastAsia="仿宋" w:cs="仿宋"/>
          <w:color w:val="auto"/>
          <w:sz w:val="24"/>
          <w:szCs w:val="24"/>
          <w:u w:val="single"/>
        </w:rPr>
      </w:pPr>
      <w:r>
        <w:rPr>
          <w:rFonts w:hint="eastAsia" w:ascii="仿宋" w:hAnsi="仿宋" w:eastAsia="仿宋" w:cs="仿宋"/>
          <w:bCs/>
          <w:color w:val="auto"/>
          <w:sz w:val="24"/>
          <w:szCs w:val="24"/>
        </w:rPr>
        <w:t>1.工程名称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w:t>
      </w:r>
    </w:p>
    <w:p w14:paraId="2F0A85C4">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2.工程地点：</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w:t>
      </w:r>
    </w:p>
    <w:p w14:paraId="0074756D">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3.工程立项批准文号：</w:t>
      </w:r>
      <w:r>
        <w:rPr>
          <w:rFonts w:hint="eastAsia" w:ascii="仿宋" w:hAnsi="仿宋" w:eastAsia="仿宋" w:cs="仿宋"/>
          <w:color w:val="auto"/>
          <w:sz w:val="24"/>
          <w:szCs w:val="24"/>
          <w:u w:val="single"/>
        </w:rPr>
        <w:t xml:space="preserve">       </w:t>
      </w:r>
      <w:r>
        <w:rPr>
          <w:rFonts w:hint="eastAsia" w:ascii="仿宋" w:hAnsi="仿宋" w:eastAsia="仿宋" w:cs="仿宋"/>
          <w:bCs/>
          <w:color w:val="auto"/>
          <w:sz w:val="24"/>
          <w:szCs w:val="24"/>
        </w:rPr>
        <w:t>。</w:t>
      </w:r>
    </w:p>
    <w:p w14:paraId="14ECD82A">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4.资金来源：</w:t>
      </w:r>
      <w:r>
        <w:rPr>
          <w:rFonts w:hint="eastAsia" w:ascii="仿宋" w:hAnsi="仿宋" w:eastAsia="仿宋" w:cs="仿宋"/>
          <w:color w:val="auto"/>
          <w:sz w:val="24"/>
          <w:szCs w:val="24"/>
          <w:u w:val="single"/>
        </w:rPr>
        <w:t xml:space="preserve">       </w:t>
      </w:r>
      <w:r>
        <w:rPr>
          <w:rFonts w:hint="eastAsia" w:ascii="仿宋" w:hAnsi="仿宋" w:eastAsia="仿宋" w:cs="仿宋"/>
          <w:bCs/>
          <w:color w:val="auto"/>
          <w:sz w:val="24"/>
          <w:szCs w:val="24"/>
        </w:rPr>
        <w:t>。</w:t>
      </w:r>
    </w:p>
    <w:p w14:paraId="3D3ED42E">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bCs/>
          <w:color w:val="auto"/>
          <w:sz w:val="24"/>
          <w:szCs w:val="24"/>
        </w:rPr>
        <w:t>5.工程内容：</w:t>
      </w:r>
      <w:r>
        <w:rPr>
          <w:rFonts w:hint="eastAsia" w:ascii="仿宋" w:hAnsi="仿宋" w:eastAsia="仿宋" w:cs="仿宋"/>
          <w:color w:val="auto"/>
          <w:sz w:val="24"/>
          <w:szCs w:val="24"/>
          <w:u w:val="single"/>
        </w:rPr>
        <w:t xml:space="preserve">       </w:t>
      </w:r>
      <w:r>
        <w:rPr>
          <w:rFonts w:hint="eastAsia" w:ascii="仿宋" w:hAnsi="仿宋" w:eastAsia="仿宋" w:cs="仿宋"/>
          <w:bCs/>
          <w:color w:val="auto"/>
          <w:sz w:val="24"/>
          <w:szCs w:val="24"/>
        </w:rPr>
        <w:t>。</w:t>
      </w:r>
    </w:p>
    <w:p w14:paraId="6820B8B7">
      <w:pPr>
        <w:spacing w:line="360" w:lineRule="auto"/>
        <w:ind w:firstLine="470" w:firstLineChars="196"/>
        <w:rPr>
          <w:rFonts w:hint="eastAsia" w:ascii="仿宋" w:hAnsi="仿宋" w:eastAsia="仿宋" w:cs="仿宋"/>
          <w:bCs/>
          <w:color w:val="auto"/>
          <w:sz w:val="24"/>
          <w:szCs w:val="24"/>
        </w:rPr>
      </w:pPr>
      <w:r>
        <w:rPr>
          <w:rFonts w:hint="eastAsia" w:ascii="仿宋" w:hAnsi="仿宋" w:eastAsia="仿宋" w:cs="仿宋"/>
          <w:color w:val="auto"/>
          <w:sz w:val="24"/>
          <w:szCs w:val="24"/>
        </w:rPr>
        <w:t>群体工程应附《承包人承揽工程项目一览表》（附件1）。</w:t>
      </w:r>
    </w:p>
    <w:p w14:paraId="3AA4A36B">
      <w:pPr>
        <w:spacing w:line="360" w:lineRule="auto"/>
        <w:ind w:firstLine="470" w:firstLineChars="196"/>
        <w:rPr>
          <w:rFonts w:hint="eastAsia" w:ascii="仿宋" w:hAnsi="仿宋" w:eastAsia="仿宋" w:cs="仿宋"/>
          <w:color w:val="auto"/>
          <w:sz w:val="24"/>
          <w:szCs w:val="24"/>
        </w:rPr>
      </w:pPr>
      <w:r>
        <w:rPr>
          <w:rFonts w:hint="eastAsia" w:ascii="仿宋" w:hAnsi="仿宋" w:eastAsia="仿宋" w:cs="仿宋"/>
          <w:bCs/>
          <w:color w:val="auto"/>
          <w:sz w:val="24"/>
          <w:szCs w:val="24"/>
        </w:rPr>
        <w:t>6.工程承包范围：</w:t>
      </w:r>
      <w:r>
        <w:rPr>
          <w:rFonts w:hint="eastAsia" w:ascii="仿宋" w:hAnsi="仿宋" w:eastAsia="仿宋" w:cs="仿宋"/>
          <w:color w:val="auto"/>
          <w:sz w:val="24"/>
          <w:szCs w:val="24"/>
          <w:u w:val="single"/>
        </w:rPr>
        <w:t xml:space="preserve">   </w:t>
      </w:r>
    </w:p>
    <w:p w14:paraId="03C8115E">
      <w:pPr>
        <w:pStyle w:val="3"/>
        <w:spacing w:before="120" w:after="120" w:line="360" w:lineRule="auto"/>
        <w:rPr>
          <w:rFonts w:hint="eastAsia" w:ascii="仿宋" w:hAnsi="仿宋" w:eastAsia="仿宋" w:cs="仿宋"/>
          <w:b w:val="0"/>
          <w:color w:val="auto"/>
          <w:sz w:val="24"/>
          <w:szCs w:val="24"/>
        </w:rPr>
      </w:pPr>
      <w:r>
        <w:rPr>
          <w:rFonts w:hint="eastAsia" w:ascii="仿宋" w:hAnsi="仿宋" w:eastAsia="仿宋" w:cs="仿宋"/>
          <w:b w:val="0"/>
          <w:color w:val="auto"/>
          <w:sz w:val="24"/>
          <w:szCs w:val="24"/>
        </w:rPr>
        <w:t xml:space="preserve">   </w:t>
      </w:r>
      <w:bookmarkStart w:id="1" w:name="_Toc351203482"/>
      <w:r>
        <w:rPr>
          <w:rFonts w:hint="eastAsia" w:ascii="仿宋" w:hAnsi="仿宋" w:eastAsia="仿宋" w:cs="仿宋"/>
          <w:b w:val="0"/>
          <w:color w:val="auto"/>
          <w:sz w:val="24"/>
          <w:szCs w:val="24"/>
        </w:rPr>
        <w:t>二、合同工期</w:t>
      </w:r>
      <w:bookmarkEnd w:id="1"/>
    </w:p>
    <w:p w14:paraId="56EA7578">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计划开工日期：</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日。</w:t>
      </w:r>
    </w:p>
    <w:p w14:paraId="3D3E560F">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计划竣工日期：</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日。</w:t>
      </w:r>
    </w:p>
    <w:p w14:paraId="592D6099">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工期总日历天数：</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天。工期总日历天数与根据前述计划开竣工日期计算的工期天数不一致的，以工期总日历天数为准。</w:t>
      </w:r>
    </w:p>
    <w:p w14:paraId="75F56C0E">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2" w:name="_Toc351203483"/>
      <w:r>
        <w:rPr>
          <w:rFonts w:hint="eastAsia" w:ascii="仿宋" w:hAnsi="仿宋" w:eastAsia="仿宋" w:cs="仿宋"/>
          <w:b w:val="0"/>
          <w:color w:val="auto"/>
          <w:sz w:val="24"/>
          <w:szCs w:val="24"/>
        </w:rPr>
        <w:t>三、质量标准</w:t>
      </w:r>
      <w:bookmarkEnd w:id="2"/>
    </w:p>
    <w:p w14:paraId="4FD43630">
      <w:pPr>
        <w:spacing w:line="360" w:lineRule="auto"/>
        <w:ind w:firstLine="459"/>
        <w:rPr>
          <w:rFonts w:hint="eastAsia" w:ascii="仿宋" w:hAnsi="仿宋" w:eastAsia="仿宋" w:cs="仿宋"/>
          <w:color w:val="auto"/>
          <w:sz w:val="24"/>
          <w:szCs w:val="24"/>
        </w:rPr>
      </w:pPr>
      <w:r>
        <w:rPr>
          <w:rFonts w:hint="eastAsia" w:ascii="仿宋" w:hAnsi="仿宋" w:eastAsia="仿宋" w:cs="仿宋"/>
          <w:color w:val="auto"/>
          <w:sz w:val="24"/>
          <w:szCs w:val="24"/>
        </w:rPr>
        <w:t>工程质量符合</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标准。</w:t>
      </w:r>
    </w:p>
    <w:p w14:paraId="5387DFB5">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3" w:name="_Toc351203484"/>
      <w:r>
        <w:rPr>
          <w:rFonts w:hint="eastAsia" w:ascii="仿宋" w:hAnsi="仿宋" w:eastAsia="仿宋" w:cs="仿宋"/>
          <w:b w:val="0"/>
          <w:color w:val="auto"/>
          <w:sz w:val="24"/>
          <w:szCs w:val="24"/>
        </w:rPr>
        <w:t>四、签约合同价与合同价格形式</w:t>
      </w:r>
      <w:bookmarkEnd w:id="3"/>
      <w:r>
        <w:rPr>
          <w:rFonts w:hint="eastAsia" w:ascii="仿宋" w:hAnsi="仿宋" w:eastAsia="仿宋" w:cs="仿宋"/>
          <w:b w:val="0"/>
          <w:color w:val="auto"/>
          <w:sz w:val="24"/>
          <w:szCs w:val="24"/>
        </w:rPr>
        <w:tab/>
      </w:r>
    </w:p>
    <w:p w14:paraId="09DAB66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1.签约合同价为：</w:t>
      </w:r>
    </w:p>
    <w:p w14:paraId="78173850">
      <w:pPr>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3D2D0DD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其中：</w:t>
      </w:r>
    </w:p>
    <w:p w14:paraId="03AC7A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（1）安全文明施工费：</w:t>
      </w:r>
    </w:p>
    <w:p w14:paraId="07C5D5E3">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7973137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（2）材料和工程设备暂估价金额：</w:t>
      </w:r>
    </w:p>
    <w:p w14:paraId="567226C9">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3ED9D2F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（3）专业工程暂估价金额：</w:t>
      </w:r>
    </w:p>
    <w:p w14:paraId="5223CD86">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4C72011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（4）暂列金额：</w:t>
      </w:r>
    </w:p>
    <w:p w14:paraId="7F1A3EEB">
      <w:pPr>
        <w:spacing w:line="360" w:lineRule="auto"/>
        <w:ind w:firstLine="1080" w:firstLineChars="450"/>
        <w:rPr>
          <w:rFonts w:hint="eastAsia" w:ascii="仿宋" w:hAnsi="仿宋" w:eastAsia="仿宋" w:cs="仿宋"/>
          <w:color w:val="auto"/>
          <w:sz w:val="24"/>
          <w:szCs w:val="24"/>
        </w:rPr>
      </w:pPr>
      <w:r>
        <w:rPr>
          <w:rFonts w:hint="eastAsia" w:ascii="仿宋" w:hAnsi="仿宋" w:eastAsia="仿宋" w:cs="仿宋"/>
          <w:color w:val="auto"/>
          <w:sz w:val="24"/>
          <w:szCs w:val="24"/>
        </w:rPr>
        <w:t>人民币（大写）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p w14:paraId="2176669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2.合同价格形式：</w:t>
      </w:r>
      <w:r>
        <w:rPr>
          <w:rFonts w:hint="eastAsia" w:ascii="仿宋" w:hAnsi="仿宋" w:eastAsia="仿宋" w:cs="仿宋"/>
          <w:color w:val="auto"/>
          <w:sz w:val="24"/>
          <w:szCs w:val="24"/>
          <w:u w:val="single"/>
        </w:rPr>
        <w:t>                      </w:t>
      </w:r>
      <w:r>
        <w:rPr>
          <w:rFonts w:hint="eastAsia" w:ascii="仿宋" w:hAnsi="仿宋" w:eastAsia="仿宋" w:cs="仿宋"/>
          <w:color w:val="auto"/>
          <w:sz w:val="24"/>
          <w:szCs w:val="24"/>
        </w:rPr>
        <w:t>。</w:t>
      </w:r>
    </w:p>
    <w:p w14:paraId="67B39B07">
      <w:pPr>
        <w:pStyle w:val="3"/>
        <w:spacing w:before="120" w:after="120" w:line="360" w:lineRule="auto"/>
        <w:rPr>
          <w:rFonts w:hint="eastAsia" w:ascii="仿宋" w:hAnsi="仿宋" w:eastAsia="仿宋" w:cs="仿宋"/>
          <w:b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4" w:name="_Toc351203485"/>
      <w:r>
        <w:rPr>
          <w:rFonts w:hint="eastAsia" w:ascii="仿宋" w:hAnsi="仿宋" w:eastAsia="仿宋" w:cs="仿宋"/>
          <w:b w:val="0"/>
          <w:color w:val="auto"/>
          <w:sz w:val="24"/>
          <w:szCs w:val="24"/>
        </w:rPr>
        <w:t>五、</w:t>
      </w:r>
      <w:bookmarkEnd w:id="4"/>
      <w:r>
        <w:rPr>
          <w:rFonts w:hint="eastAsia" w:ascii="仿宋" w:hAnsi="仿宋" w:eastAsia="仿宋" w:cs="仿宋"/>
          <w:b w:val="0"/>
          <w:color w:val="auto"/>
          <w:sz w:val="24"/>
          <w:szCs w:val="24"/>
        </w:rPr>
        <w:t>项目经理</w:t>
      </w:r>
    </w:p>
    <w:p w14:paraId="0EF4A51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承包人项目经理：</w:t>
      </w:r>
      <w:r>
        <w:rPr>
          <w:rFonts w:hint="eastAsia" w:ascii="仿宋" w:hAnsi="仿宋" w:eastAsia="仿宋" w:cs="仿宋"/>
          <w:color w:val="auto"/>
          <w:sz w:val="24"/>
          <w:szCs w:val="24"/>
          <w:u w:val="single"/>
        </w:rPr>
        <w:t>                     </w:t>
      </w:r>
      <w:r>
        <w:rPr>
          <w:rFonts w:hint="eastAsia" w:ascii="仿宋" w:hAnsi="仿宋" w:eastAsia="仿宋" w:cs="仿宋"/>
          <w:color w:val="auto"/>
          <w:sz w:val="24"/>
          <w:szCs w:val="24"/>
        </w:rPr>
        <w:t>。</w:t>
      </w:r>
    </w:p>
    <w:p w14:paraId="78F76DC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5" w:name="_Toc351203486"/>
      <w:r>
        <w:rPr>
          <w:rFonts w:hint="eastAsia" w:ascii="仿宋" w:hAnsi="仿宋" w:eastAsia="仿宋" w:cs="仿宋"/>
          <w:b w:val="0"/>
          <w:color w:val="auto"/>
          <w:sz w:val="24"/>
          <w:szCs w:val="24"/>
        </w:rPr>
        <w:t>六、合同文件构成</w:t>
      </w:r>
      <w:bookmarkEnd w:id="5"/>
    </w:p>
    <w:p w14:paraId="24375111">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本协议书与下列文件一起构成合同文件：</w:t>
      </w:r>
    </w:p>
    <w:p w14:paraId="079F2DD2">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（1）中标通知书（如果有）；</w:t>
      </w:r>
    </w:p>
    <w:p w14:paraId="458FD9D9">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（2）投标函及其附录（如果有）； </w:t>
      </w:r>
    </w:p>
    <w:p w14:paraId="3EF586CD">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（3）专用合同条款及其附件；</w:t>
      </w:r>
    </w:p>
    <w:p w14:paraId="2FB6AECD">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（4）通用合同条款；</w:t>
      </w:r>
    </w:p>
    <w:p w14:paraId="26B34AAB">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（5）技术标准和要求；</w:t>
      </w:r>
    </w:p>
    <w:p w14:paraId="3A92703A">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（6）图纸；</w:t>
      </w:r>
    </w:p>
    <w:p w14:paraId="409B44C6">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（7）已标价工程量清单或预算书；</w:t>
      </w:r>
      <w:bookmarkStart w:id="451" w:name="_GoBack"/>
      <w:bookmarkEnd w:id="451"/>
    </w:p>
    <w:p w14:paraId="2464944F">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（8）其他合同文件。</w:t>
      </w:r>
    </w:p>
    <w:p w14:paraId="61290A44">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在合同订立及履行过程中形成的与合同有关的文件均构成合同文件组成部分。</w:t>
      </w:r>
    </w:p>
    <w:p w14:paraId="401B0730">
      <w:pPr>
        <w:autoSpaceDE w:val="0"/>
        <w:autoSpaceDN w:val="0"/>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上述各项合同文件包括合同当事人就该项合同文件所作出的补充和修改，属于同一类内容的文件，应以最新签署的为准。专用合同条款及其附件须经合同当事人签字或盖章。</w:t>
      </w:r>
    </w:p>
    <w:p w14:paraId="33CD5341">
      <w:pPr>
        <w:pStyle w:val="3"/>
        <w:spacing w:before="120" w:after="120"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   </w:t>
      </w:r>
      <w:r>
        <w:rPr>
          <w:rFonts w:hint="eastAsia" w:ascii="仿宋" w:hAnsi="仿宋" w:eastAsia="仿宋" w:cs="仿宋"/>
          <w:b w:val="0"/>
          <w:color w:val="auto"/>
          <w:sz w:val="24"/>
          <w:szCs w:val="24"/>
        </w:rPr>
        <w:t xml:space="preserve"> </w:t>
      </w:r>
      <w:bookmarkStart w:id="6" w:name="_Toc351203487"/>
      <w:r>
        <w:rPr>
          <w:rFonts w:hint="eastAsia" w:ascii="仿宋" w:hAnsi="仿宋" w:eastAsia="仿宋" w:cs="仿宋"/>
          <w:b w:val="0"/>
          <w:color w:val="auto"/>
          <w:sz w:val="24"/>
          <w:szCs w:val="24"/>
        </w:rPr>
        <w:t>七、承诺</w:t>
      </w:r>
      <w:bookmarkEnd w:id="6"/>
    </w:p>
    <w:p w14:paraId="59B0EC8E">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1.发包人承诺按照法律规定履行项目审批手续、筹集工程建设资金并按照合同约定的期限和方式支付合同价款。</w:t>
      </w:r>
    </w:p>
    <w:p w14:paraId="7FF63F93">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2.承包人承诺按照法律规定及合同约定组织完成工程施工，确保工程质量和安全，不进行转包及违法分包，并在缺陷责任期及保修期内承担相应的工程维修责任。</w:t>
      </w:r>
    </w:p>
    <w:p w14:paraId="4E1C1056">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3.发包人和承包人通过招投标形式签订合同的，双方理解并承诺不再就同一工程另行签订与合同实质性内容相背离的协议。</w:t>
      </w:r>
    </w:p>
    <w:p w14:paraId="76B3FF43">
      <w:pPr>
        <w:spacing w:line="360" w:lineRule="auto"/>
        <w:rPr>
          <w:rFonts w:hint="eastAsia" w:ascii="仿宋" w:hAnsi="仿宋" w:eastAsia="仿宋" w:cs="仿宋"/>
          <w:bCs/>
          <w:color w:val="auto"/>
          <w:sz w:val="24"/>
          <w:szCs w:val="24"/>
        </w:rPr>
      </w:pPr>
      <w:bookmarkStart w:id="7" w:name="_Toc351203488"/>
      <w:r>
        <w:rPr>
          <w:rFonts w:hint="eastAsia" w:ascii="仿宋" w:hAnsi="仿宋" w:eastAsia="仿宋" w:cs="仿宋"/>
          <w:b/>
          <w:color w:val="auto"/>
          <w:sz w:val="24"/>
          <w:szCs w:val="24"/>
        </w:rPr>
        <w:t xml:space="preserve">    八、词语含义</w:t>
      </w:r>
      <w:bookmarkEnd w:id="7"/>
    </w:p>
    <w:p w14:paraId="5B9E75C8">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本协议书中词语含义与第二部分通用合同条款中赋予的含义相同。</w:t>
      </w:r>
    </w:p>
    <w:p w14:paraId="10EA85AC">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r>
        <w:rPr>
          <w:rFonts w:hint="eastAsia" w:ascii="仿宋" w:hAnsi="仿宋" w:eastAsia="仿宋" w:cs="仿宋"/>
          <w:b w:val="0"/>
          <w:color w:val="auto"/>
          <w:sz w:val="24"/>
          <w:szCs w:val="24"/>
        </w:rPr>
        <w:t xml:space="preserve">  </w:t>
      </w:r>
      <w:bookmarkStart w:id="8" w:name="_Toc351203489"/>
      <w:r>
        <w:rPr>
          <w:rFonts w:hint="eastAsia" w:ascii="仿宋" w:hAnsi="仿宋" w:eastAsia="仿宋" w:cs="仿宋"/>
          <w:b w:val="0"/>
          <w:color w:val="auto"/>
          <w:sz w:val="24"/>
          <w:szCs w:val="24"/>
        </w:rPr>
        <w:t>九、签订时间</w:t>
      </w:r>
      <w:bookmarkEnd w:id="8"/>
    </w:p>
    <w:p w14:paraId="34814E56">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本合同于</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年</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月</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日签订。</w:t>
      </w:r>
    </w:p>
    <w:p w14:paraId="752040E2">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9" w:name="_Toc351203490"/>
      <w:r>
        <w:rPr>
          <w:rFonts w:hint="eastAsia" w:ascii="仿宋" w:hAnsi="仿宋" w:eastAsia="仿宋" w:cs="仿宋"/>
          <w:b w:val="0"/>
          <w:color w:val="auto"/>
          <w:sz w:val="24"/>
          <w:szCs w:val="24"/>
        </w:rPr>
        <w:t>十、签订地点</w:t>
      </w:r>
      <w:bookmarkEnd w:id="9"/>
    </w:p>
    <w:p w14:paraId="4E646B16">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本合同在</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签订。</w:t>
      </w:r>
    </w:p>
    <w:p w14:paraId="431940DE">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10" w:name="_Toc351203491"/>
      <w:r>
        <w:rPr>
          <w:rFonts w:hint="eastAsia" w:ascii="仿宋" w:hAnsi="仿宋" w:eastAsia="仿宋" w:cs="仿宋"/>
          <w:b w:val="0"/>
          <w:color w:val="auto"/>
          <w:sz w:val="24"/>
          <w:szCs w:val="24"/>
        </w:rPr>
        <w:t>十一、补充协议</w:t>
      </w:r>
      <w:bookmarkEnd w:id="10"/>
    </w:p>
    <w:p w14:paraId="3EFFD1CC">
      <w:pPr>
        <w:spacing w:line="360" w:lineRule="auto"/>
        <w:ind w:firstLine="480" w:firstLineChars="200"/>
        <w:rPr>
          <w:rFonts w:hint="eastAsia" w:ascii="仿宋" w:hAnsi="仿宋" w:eastAsia="仿宋" w:cs="仿宋"/>
          <w:b/>
          <w:bCs/>
          <w:color w:val="auto"/>
          <w:sz w:val="24"/>
          <w:szCs w:val="24"/>
        </w:rPr>
      </w:pPr>
      <w:r>
        <w:rPr>
          <w:rFonts w:hint="eastAsia" w:ascii="仿宋" w:hAnsi="仿宋" w:eastAsia="仿宋" w:cs="仿宋"/>
          <w:bCs/>
          <w:color w:val="auto"/>
          <w:sz w:val="24"/>
          <w:szCs w:val="24"/>
        </w:rPr>
        <w:t>合同未尽事宜，合同当事人另行签订补充协议，补充协议是合同的组成部分。</w:t>
      </w:r>
    </w:p>
    <w:p w14:paraId="0BD66A0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11" w:name="_Toc351203492"/>
      <w:r>
        <w:rPr>
          <w:rFonts w:hint="eastAsia" w:ascii="仿宋" w:hAnsi="仿宋" w:eastAsia="仿宋" w:cs="仿宋"/>
          <w:b w:val="0"/>
          <w:color w:val="auto"/>
          <w:sz w:val="24"/>
          <w:szCs w:val="24"/>
        </w:rPr>
        <w:t>十二、合同生效</w:t>
      </w:r>
      <w:bookmarkEnd w:id="11"/>
    </w:p>
    <w:p w14:paraId="182EE00C">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本合同自</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生效。</w:t>
      </w:r>
    </w:p>
    <w:p w14:paraId="5F3C3EE8">
      <w:pPr>
        <w:pStyle w:val="3"/>
        <w:spacing w:before="120" w:after="120" w:line="360" w:lineRule="auto"/>
        <w:rPr>
          <w:rFonts w:hint="eastAsia" w:ascii="仿宋" w:hAnsi="仿宋" w:eastAsia="仿宋" w:cs="仿宋"/>
          <w:bCs w:val="0"/>
          <w:color w:val="auto"/>
          <w:sz w:val="24"/>
          <w:szCs w:val="24"/>
        </w:rPr>
      </w:pPr>
      <w:r>
        <w:rPr>
          <w:rFonts w:hint="eastAsia" w:ascii="仿宋" w:hAnsi="仿宋" w:eastAsia="仿宋" w:cs="仿宋"/>
          <w:bCs w:val="0"/>
          <w:color w:val="auto"/>
          <w:sz w:val="24"/>
          <w:szCs w:val="24"/>
        </w:rPr>
        <w:t xml:space="preserve">    </w:t>
      </w:r>
      <w:bookmarkStart w:id="12" w:name="_Toc351203493"/>
      <w:r>
        <w:rPr>
          <w:rFonts w:hint="eastAsia" w:ascii="仿宋" w:hAnsi="仿宋" w:eastAsia="仿宋" w:cs="仿宋"/>
          <w:b w:val="0"/>
          <w:color w:val="auto"/>
          <w:sz w:val="24"/>
          <w:szCs w:val="24"/>
        </w:rPr>
        <w:t>十三、合同份数</w:t>
      </w:r>
      <w:bookmarkEnd w:id="12"/>
    </w:p>
    <w:p w14:paraId="206BFB63">
      <w:pPr>
        <w:spacing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本合同一式</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份，均具有同等法律效力，发包人执</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份，承包人执</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份。</w:t>
      </w:r>
    </w:p>
    <w:p w14:paraId="1542CE70">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发包人：  (公章)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承包人：  (公章)</w:t>
      </w:r>
    </w:p>
    <w:p w14:paraId="12B71CF0">
      <w:pPr>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 xml:space="preserve">                                 </w:t>
      </w:r>
    </w:p>
    <w:p w14:paraId="220F1C4F">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法定代表人或其委托代理人：  法定代表人或其委托代理人：</w:t>
      </w:r>
    </w:p>
    <w:p w14:paraId="1C48E4DA">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（签字）                    （签字）</w:t>
      </w:r>
    </w:p>
    <w:p w14:paraId="7F40F54E">
      <w:pPr>
        <w:spacing w:line="360" w:lineRule="auto"/>
        <w:rPr>
          <w:rFonts w:hint="eastAsia" w:ascii="仿宋" w:hAnsi="仿宋" w:eastAsia="仿宋" w:cs="仿宋"/>
          <w:color w:val="auto"/>
          <w:sz w:val="24"/>
          <w:szCs w:val="24"/>
          <w:u w:val="single"/>
        </w:rPr>
      </w:pPr>
    </w:p>
    <w:p w14:paraId="63E49672">
      <w:pPr>
        <w:tabs>
          <w:tab w:val="left" w:pos="4410"/>
        </w:tabs>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组织机构代码：</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组织机构代码：</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w:t>
      </w:r>
    </w:p>
    <w:p w14:paraId="15D1BD9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地  址：</w:t>
      </w:r>
      <w:r>
        <w:rPr>
          <w:rFonts w:hint="eastAsia" w:ascii="仿宋" w:hAnsi="仿宋" w:eastAsia="仿宋" w:cs="仿宋"/>
          <w:color w:val="auto"/>
          <w:sz w:val="24"/>
          <w:szCs w:val="24"/>
          <w:u w:val="single"/>
        </w:rPr>
        <w:t xml:space="preserve">        </w:t>
      </w:r>
    </w:p>
    <w:p w14:paraId="7838572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邮政编码：</w:t>
      </w:r>
      <w:r>
        <w:rPr>
          <w:rFonts w:hint="eastAsia" w:ascii="仿宋" w:hAnsi="仿宋" w:eastAsia="仿宋" w:cs="仿宋"/>
          <w:color w:val="auto"/>
          <w:sz w:val="24"/>
          <w:szCs w:val="24"/>
          <w:u w:val="single"/>
        </w:rPr>
        <w:t xml:space="preserve">      </w:t>
      </w:r>
      <w:r>
        <w:rPr>
          <w:rFonts w:hint="eastAsia" w:ascii="仿宋" w:hAnsi="仿宋" w:eastAsia="仿宋" w:cs="仿宋"/>
          <w:color w:val="auto"/>
          <w:sz w:val="24"/>
          <w:szCs w:val="24"/>
        </w:rPr>
        <w:t xml:space="preserve">  邮政编码：</w:t>
      </w:r>
      <w:r>
        <w:rPr>
          <w:rFonts w:hint="eastAsia" w:ascii="仿宋" w:hAnsi="仿宋" w:eastAsia="仿宋" w:cs="仿宋"/>
          <w:color w:val="auto"/>
          <w:sz w:val="24"/>
          <w:szCs w:val="24"/>
          <w:u w:val="single"/>
        </w:rPr>
        <w:t xml:space="preserve">   </w:t>
      </w:r>
    </w:p>
    <w:p w14:paraId="1C1BD3F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法定代表人：</w:t>
      </w:r>
      <w:r>
        <w:rPr>
          <w:rFonts w:hint="eastAsia" w:ascii="仿宋" w:hAnsi="仿宋" w:eastAsia="仿宋" w:cs="仿宋"/>
          <w:color w:val="auto"/>
          <w:sz w:val="24"/>
          <w:szCs w:val="24"/>
          <w:u w:val="single"/>
        </w:rPr>
        <w:t xml:space="preserve">             </w:t>
      </w:r>
    </w:p>
    <w:p w14:paraId="72FBE048">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委托代理人：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委托代理人：</w:t>
      </w:r>
      <w:r>
        <w:rPr>
          <w:rFonts w:hint="eastAsia" w:ascii="仿宋" w:hAnsi="仿宋" w:eastAsia="仿宋" w:cs="仿宋"/>
          <w:color w:val="auto"/>
          <w:sz w:val="24"/>
          <w:szCs w:val="24"/>
          <w:u w:val="single"/>
        </w:rPr>
        <w:t xml:space="preserve">             </w:t>
      </w:r>
    </w:p>
    <w:p w14:paraId="5FD24F37">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电  话：</w:t>
      </w:r>
      <w:r>
        <w:rPr>
          <w:rFonts w:hint="eastAsia" w:ascii="仿宋" w:hAnsi="仿宋" w:eastAsia="仿宋" w:cs="仿宋"/>
          <w:color w:val="auto"/>
          <w:sz w:val="24"/>
          <w:szCs w:val="24"/>
          <w:u w:val="single"/>
        </w:rPr>
        <w:t xml:space="preserve">     </w:t>
      </w:r>
    </w:p>
    <w:p w14:paraId="5DD4261A">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传  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传  真：</w:t>
      </w:r>
      <w:r>
        <w:rPr>
          <w:rFonts w:hint="eastAsia" w:ascii="仿宋" w:hAnsi="仿宋" w:eastAsia="仿宋" w:cs="仿宋"/>
          <w:color w:val="auto"/>
          <w:sz w:val="24"/>
          <w:szCs w:val="24"/>
          <w:u w:val="single"/>
        </w:rPr>
        <w:t xml:space="preserve">     </w:t>
      </w:r>
    </w:p>
    <w:p w14:paraId="08A8873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电子信箱：</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电子信箱：</w:t>
      </w:r>
      <w:r>
        <w:rPr>
          <w:rFonts w:hint="eastAsia" w:ascii="仿宋" w:hAnsi="仿宋" w:eastAsia="仿宋" w:cs="仿宋"/>
          <w:color w:val="auto"/>
          <w:sz w:val="24"/>
          <w:szCs w:val="24"/>
          <w:u w:val="single"/>
        </w:rPr>
        <w:t xml:space="preserve">   </w:t>
      </w:r>
    </w:p>
    <w:p w14:paraId="188CEF5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开户银行：</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开户银行：</w:t>
      </w:r>
      <w:r>
        <w:rPr>
          <w:rFonts w:hint="eastAsia" w:ascii="仿宋" w:hAnsi="仿宋" w:eastAsia="仿宋" w:cs="仿宋"/>
          <w:color w:val="auto"/>
          <w:sz w:val="24"/>
          <w:szCs w:val="24"/>
          <w:u w:val="single"/>
        </w:rPr>
        <w:t xml:space="preserve">   </w:t>
      </w:r>
    </w:p>
    <w:p w14:paraId="0569F166">
      <w:pPr>
        <w:spacing w:line="360" w:lineRule="auto"/>
        <w:rPr>
          <w:rFonts w:hint="eastAsia" w:ascii="仿宋" w:hAnsi="仿宋" w:eastAsia="仿宋" w:cs="仿宋"/>
          <w:color w:val="auto"/>
          <w:sz w:val="30"/>
          <w:szCs w:val="30"/>
        </w:rPr>
      </w:pPr>
      <w:r>
        <w:rPr>
          <w:rFonts w:hint="eastAsia" w:ascii="仿宋" w:hAnsi="仿宋" w:eastAsia="仿宋" w:cs="仿宋"/>
          <w:color w:val="auto"/>
          <w:sz w:val="24"/>
          <w:szCs w:val="24"/>
        </w:rPr>
        <w:t>账  号：</w:t>
      </w:r>
      <w:r>
        <w:rPr>
          <w:rFonts w:hint="eastAsia" w:ascii="仿宋" w:hAnsi="仿宋" w:eastAsia="仿宋" w:cs="仿宋"/>
          <w:color w:val="auto"/>
          <w:sz w:val="24"/>
          <w:szCs w:val="24"/>
          <w:u w:val="single"/>
        </w:rPr>
        <w:t xml:space="preserve">       </w:t>
      </w:r>
      <w:r>
        <w:rPr>
          <w:rFonts w:hint="eastAsia" w:ascii="仿宋" w:hAnsi="仿宋" w:eastAsia="仿宋" w:cs="仿宋"/>
          <w:color w:val="auto"/>
          <w:sz w:val="24"/>
          <w:szCs w:val="24"/>
        </w:rPr>
        <w:t xml:space="preserve">   账  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30"/>
          <w:szCs w:val="30"/>
          <w:u w:val="single"/>
        </w:rPr>
        <w:t xml:space="preserve"> </w:t>
      </w:r>
    </w:p>
    <w:p w14:paraId="44EC9795">
      <w:pPr>
        <w:spacing w:line="360" w:lineRule="auto"/>
        <w:rPr>
          <w:rFonts w:hint="eastAsia" w:ascii="仿宋" w:hAnsi="仿宋" w:eastAsia="仿宋" w:cs="仿宋"/>
          <w:color w:val="auto"/>
        </w:rPr>
      </w:pPr>
    </w:p>
    <w:p w14:paraId="46329D2B">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14:paraId="064F0B47">
      <w:pPr>
        <w:numPr>
          <w:ilvl w:val="0"/>
          <w:numId w:val="0"/>
        </w:numPr>
        <w:spacing w:line="360" w:lineRule="auto"/>
        <w:jc w:val="center"/>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第二部分 通用合同条款</w:t>
      </w:r>
    </w:p>
    <w:p w14:paraId="3CF4B05C">
      <w:pPr>
        <w:numPr>
          <w:ilvl w:val="0"/>
          <w:numId w:val="0"/>
        </w:numPr>
        <w:spacing w:line="360" w:lineRule="auto"/>
        <w:jc w:val="center"/>
        <w:outlineLvl w:val="9"/>
        <w:rPr>
          <w:rFonts w:hint="eastAsia" w:ascii="仿宋" w:hAnsi="仿宋" w:eastAsia="仿宋" w:cs="仿宋"/>
          <w:b w:val="0"/>
          <w:color w:val="auto"/>
          <w:sz w:val="21"/>
          <w:szCs w:val="21"/>
        </w:rPr>
      </w:pPr>
      <w:bookmarkStart w:id="13" w:name="_Hlk504573683"/>
      <w:r>
        <w:rPr>
          <w:rFonts w:hint="eastAsia" w:ascii="仿宋" w:hAnsi="仿宋" w:eastAsia="仿宋" w:cs="仿宋"/>
          <w:b w:val="0"/>
          <w:color w:val="auto"/>
          <w:sz w:val="21"/>
          <w:szCs w:val="21"/>
        </w:rPr>
        <w:t>（略，见GF-2017-0201）</w:t>
      </w:r>
    </w:p>
    <w:bookmarkEnd w:id="13"/>
    <w:p w14:paraId="325D260A">
      <w:pPr>
        <w:numPr>
          <w:ilvl w:val="0"/>
          <w:numId w:val="0"/>
        </w:numPr>
        <w:spacing w:line="360" w:lineRule="auto"/>
        <w:outlineLvl w:val="9"/>
        <w:rPr>
          <w:rFonts w:hint="eastAsia" w:ascii="仿宋" w:hAnsi="仿宋" w:eastAsia="仿宋" w:cs="仿宋"/>
          <w:b w:val="0"/>
          <w:bCs w:val="0"/>
          <w:color w:val="auto"/>
          <w:sz w:val="21"/>
          <w:szCs w:val="24"/>
        </w:rPr>
      </w:pPr>
    </w:p>
    <w:p w14:paraId="6C3C7E92">
      <w:pPr>
        <w:numPr>
          <w:ilvl w:val="0"/>
          <w:numId w:val="0"/>
        </w:numPr>
        <w:spacing w:line="360" w:lineRule="auto"/>
        <w:jc w:val="center"/>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第三部分 专用合同条款</w:t>
      </w:r>
    </w:p>
    <w:p w14:paraId="0B6B3D22">
      <w:pPr>
        <w:numPr>
          <w:ilvl w:val="0"/>
          <w:numId w:val="0"/>
        </w:numPr>
        <w:spacing w:line="360" w:lineRule="auto"/>
        <w:jc w:val="center"/>
        <w:outlineLvl w:val="9"/>
        <w:rPr>
          <w:rFonts w:hint="eastAsia" w:ascii="仿宋" w:hAnsi="仿宋" w:eastAsia="仿宋" w:cs="仿宋"/>
          <w:b w:val="0"/>
          <w:color w:val="auto"/>
          <w:sz w:val="21"/>
          <w:szCs w:val="21"/>
        </w:rPr>
      </w:pPr>
      <w:r>
        <w:rPr>
          <w:rFonts w:hint="eastAsia" w:ascii="仿宋" w:hAnsi="仿宋" w:eastAsia="仿宋" w:cs="仿宋"/>
          <w:b w:val="0"/>
          <w:color w:val="auto"/>
          <w:sz w:val="21"/>
          <w:szCs w:val="21"/>
        </w:rPr>
        <w:t>（只列出了主要合同专用条款，其余条款见GF-2017-0201）</w:t>
      </w:r>
    </w:p>
    <w:p w14:paraId="0F587FD3">
      <w:pPr>
        <w:spacing w:line="360" w:lineRule="auto"/>
        <w:rPr>
          <w:rFonts w:hint="eastAsia" w:ascii="仿宋" w:hAnsi="仿宋" w:eastAsia="仿宋" w:cs="仿宋"/>
          <w:color w:val="auto"/>
        </w:rPr>
      </w:pPr>
    </w:p>
    <w:p w14:paraId="19A4D4CD">
      <w:pPr>
        <w:numPr>
          <w:ilvl w:val="3"/>
          <w:numId w:val="1"/>
        </w:numPr>
        <w:spacing w:before="0" w:after="0" w:line="360" w:lineRule="auto"/>
        <w:outlineLvl w:val="9"/>
        <w:rPr>
          <w:rFonts w:hint="eastAsia" w:ascii="仿宋" w:hAnsi="仿宋" w:eastAsia="仿宋" w:cs="仿宋"/>
          <w:b/>
          <w:bCs/>
          <w:color w:val="auto"/>
          <w:sz w:val="24"/>
          <w:szCs w:val="24"/>
        </w:rPr>
      </w:pPr>
      <w:bookmarkStart w:id="14" w:name="_Toc351203633"/>
      <w:r>
        <w:rPr>
          <w:rFonts w:hint="eastAsia" w:ascii="仿宋" w:hAnsi="仿宋" w:eastAsia="仿宋" w:cs="仿宋"/>
          <w:b/>
          <w:bCs/>
          <w:color w:val="auto"/>
          <w:sz w:val="24"/>
          <w:szCs w:val="24"/>
        </w:rPr>
        <w:t>1</w:t>
      </w:r>
      <w:bookmarkStart w:id="15" w:name="_Toc296890984"/>
      <w:bookmarkStart w:id="16" w:name="_Toc292559866"/>
      <w:bookmarkStart w:id="17" w:name="_Toc296503156"/>
      <w:bookmarkStart w:id="18" w:name="_Toc296944495"/>
      <w:bookmarkStart w:id="19" w:name="_Toc297120456"/>
      <w:bookmarkStart w:id="20" w:name="_Toc296891196"/>
      <w:bookmarkStart w:id="21" w:name="_Toc297048342"/>
      <w:bookmarkStart w:id="22" w:name="_Toc296346657"/>
      <w:bookmarkStart w:id="23" w:name="_Toc296347155"/>
      <w:bookmarkStart w:id="24" w:name="_Toc292559361"/>
      <w:r>
        <w:rPr>
          <w:rFonts w:hint="eastAsia" w:ascii="仿宋" w:hAnsi="仿宋" w:eastAsia="仿宋" w:cs="仿宋"/>
          <w:b/>
          <w:bCs/>
          <w:color w:val="auto"/>
          <w:sz w:val="24"/>
          <w:szCs w:val="24"/>
        </w:rPr>
        <w:t>. 一般约定</w:t>
      </w:r>
      <w:bookmarkEnd w:id="14"/>
    </w:p>
    <w:bookmarkEnd w:id="15"/>
    <w:bookmarkEnd w:id="16"/>
    <w:bookmarkEnd w:id="17"/>
    <w:bookmarkEnd w:id="18"/>
    <w:bookmarkEnd w:id="19"/>
    <w:bookmarkEnd w:id="20"/>
    <w:bookmarkEnd w:id="21"/>
    <w:bookmarkEnd w:id="22"/>
    <w:bookmarkEnd w:id="23"/>
    <w:bookmarkEnd w:id="24"/>
    <w:p w14:paraId="680E168C">
      <w:pPr>
        <w:spacing w:line="360" w:lineRule="auto"/>
        <w:ind w:firstLine="482" w:firstLineChars="200"/>
        <w:outlineLvl w:val="9"/>
        <w:rPr>
          <w:rFonts w:hint="eastAsia" w:ascii="仿宋" w:hAnsi="仿宋" w:eastAsia="仿宋" w:cs="仿宋"/>
          <w:b/>
          <w:bCs/>
          <w:color w:val="auto"/>
          <w:sz w:val="24"/>
        </w:rPr>
      </w:pPr>
      <w:bookmarkStart w:id="25" w:name="_Toc508702734"/>
      <w:bookmarkStart w:id="26" w:name="_Toc526085895"/>
      <w:bookmarkStart w:id="27" w:name="_Toc508703892"/>
      <w:bookmarkStart w:id="28" w:name="_Toc510449970"/>
      <w:r>
        <w:rPr>
          <w:rFonts w:hint="eastAsia" w:ascii="仿宋" w:hAnsi="仿宋" w:eastAsia="仿宋" w:cs="仿宋"/>
          <w:b/>
          <w:bCs/>
          <w:color w:val="auto"/>
          <w:sz w:val="24"/>
        </w:rPr>
        <w:t>1.1 词语定义</w:t>
      </w:r>
      <w:bookmarkEnd w:id="25"/>
      <w:bookmarkEnd w:id="26"/>
      <w:bookmarkEnd w:id="27"/>
      <w:bookmarkEnd w:id="28"/>
    </w:p>
    <w:p w14:paraId="175D1F12">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1.1.1合同</w:t>
      </w:r>
    </w:p>
    <w:p w14:paraId="7E497D36">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1.1.1.10其他合同文件包括：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除合同协议书第六条规定的合同文件外，还包括招标文件，形成决议的会议纪要、补充协议、有关本工程洽商变更等书面文件，承包人的其他保证及承诺、施工组织设计等</w:t>
      </w:r>
      <w:r>
        <w:rPr>
          <w:rFonts w:hint="eastAsia" w:ascii="仿宋" w:hAnsi="仿宋" w:eastAsia="仿宋" w:cs="仿宋"/>
          <w:color w:val="auto"/>
          <w:sz w:val="24"/>
          <w:u w:val="none"/>
          <w:lang w:val="en-US" w:eastAsia="zh-CN"/>
        </w:rPr>
        <w:t>。</w:t>
      </w:r>
    </w:p>
    <w:p w14:paraId="518F9802">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 xml:space="preserve">1.3法律 </w:t>
      </w:r>
    </w:p>
    <w:p w14:paraId="041E0EE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适用于合同的其他规范性文件：</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《中华人民共和国民法典》、《中华人民共和国招标投标法》、《中华人民共和国政府采购法》及国家的有关法律、行政法规</w:t>
      </w:r>
      <w:r>
        <w:rPr>
          <w:rFonts w:hint="eastAsia" w:ascii="仿宋" w:hAnsi="仿宋" w:eastAsia="仿宋" w:cs="仿宋"/>
          <w:color w:val="auto"/>
          <w:sz w:val="24"/>
          <w:u w:val="none"/>
          <w:lang w:val="en-US" w:eastAsia="zh-CN"/>
        </w:rPr>
        <w:t>。</w:t>
      </w:r>
    </w:p>
    <w:p w14:paraId="15CAD3AD">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1.4 标准和规范</w:t>
      </w:r>
    </w:p>
    <w:p w14:paraId="47DD31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7" w:leftChars="0"/>
        <w:textAlignment w:val="auto"/>
        <w:rPr>
          <w:rFonts w:hint="eastAsia" w:ascii="仿宋" w:hAnsi="仿宋" w:eastAsia="仿宋" w:cs="仿宋"/>
          <w:color w:val="auto"/>
          <w:sz w:val="24"/>
          <w:u w:val="single"/>
        </w:rPr>
      </w:pPr>
      <w:r>
        <w:rPr>
          <w:rFonts w:hint="eastAsia" w:ascii="仿宋" w:hAnsi="仿宋" w:eastAsia="仿宋" w:cs="仿宋"/>
          <w:color w:val="auto"/>
          <w:sz w:val="24"/>
        </w:rPr>
        <w:t>1.4.1适用于工程的标准规范包括：</w:t>
      </w:r>
      <w:r>
        <w:rPr>
          <w:rFonts w:hint="eastAsia" w:ascii="仿宋" w:hAnsi="仿宋" w:eastAsia="仿宋" w:cs="仿宋"/>
          <w:color w:val="auto"/>
          <w:sz w:val="24"/>
          <w:u w:val="single"/>
        </w:rPr>
        <w:t>﹙1﹚国家现行和相关技术规程；﹙2﹚</w:t>
      </w:r>
    </w:p>
    <w:p w14:paraId="5C8792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auto"/>
          <w:kern w:val="2"/>
          <w:sz w:val="24"/>
          <w:szCs w:val="21"/>
          <w:u w:val="single"/>
          <w:lang w:val="en-US" w:eastAsia="zh-CN" w:bidi="ar-SA"/>
        </w:rPr>
      </w:pPr>
      <w:r>
        <w:rPr>
          <w:rFonts w:hint="eastAsia" w:ascii="仿宋" w:hAnsi="仿宋" w:eastAsia="仿宋" w:cs="仿宋"/>
          <w:color w:val="auto"/>
          <w:sz w:val="24"/>
          <w:u w:val="single"/>
        </w:rPr>
        <w:t>工程所在地建设主管部门的标准、规范；﹙3﹚工程所在地行业的标准、规范；﹙4﹚发包人施工图纸的具体要求。</w:t>
      </w:r>
    </w:p>
    <w:p w14:paraId="257DE2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1.4.3发包人对工程的技术标准和功能要求的特殊要求：</w:t>
      </w:r>
      <w:r>
        <w:rPr>
          <w:rFonts w:hint="eastAsia" w:ascii="仿宋" w:hAnsi="仿宋" w:eastAsia="仿宋" w:cs="仿宋"/>
          <w:color w:val="auto"/>
          <w:sz w:val="24"/>
          <w:u w:val="single"/>
          <w:lang w:val="en-US" w:eastAsia="zh-CN"/>
        </w:rPr>
        <w:t>详见设计图纸</w:t>
      </w:r>
      <w:r>
        <w:rPr>
          <w:rFonts w:hint="eastAsia" w:ascii="仿宋" w:hAnsi="仿宋" w:eastAsia="仿宋" w:cs="仿宋"/>
          <w:color w:val="auto"/>
          <w:sz w:val="24"/>
        </w:rPr>
        <w:t>。</w:t>
      </w:r>
    </w:p>
    <w:p w14:paraId="4F30F3FC">
      <w:pPr>
        <w:spacing w:line="360" w:lineRule="auto"/>
        <w:ind w:firstLine="482" w:firstLineChars="200"/>
        <w:outlineLvl w:val="9"/>
        <w:rPr>
          <w:rFonts w:hint="eastAsia" w:ascii="仿宋" w:hAnsi="仿宋" w:eastAsia="仿宋" w:cs="仿宋"/>
          <w:b/>
          <w:bCs/>
          <w:color w:val="auto"/>
          <w:sz w:val="24"/>
        </w:rPr>
      </w:pPr>
      <w:bookmarkStart w:id="29" w:name="_Toc510449971"/>
      <w:bookmarkStart w:id="30" w:name="_Toc526085896"/>
      <w:bookmarkStart w:id="31" w:name="_Toc508702735"/>
      <w:bookmarkStart w:id="32" w:name="_Toc508703893"/>
      <w:r>
        <w:rPr>
          <w:rFonts w:hint="eastAsia" w:ascii="仿宋" w:hAnsi="仿宋" w:eastAsia="仿宋" w:cs="仿宋"/>
          <w:b/>
          <w:bCs/>
          <w:color w:val="auto"/>
          <w:sz w:val="24"/>
        </w:rPr>
        <w:t>1.5 合同文件的优先顺序</w:t>
      </w:r>
      <w:bookmarkEnd w:id="29"/>
      <w:bookmarkEnd w:id="30"/>
      <w:bookmarkEnd w:id="31"/>
      <w:bookmarkEnd w:id="32"/>
    </w:p>
    <w:p w14:paraId="7120482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合同文件组成及优先顺序为：</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2A5A5B5F">
      <w:pPr>
        <w:spacing w:line="360" w:lineRule="auto"/>
        <w:ind w:firstLine="482" w:firstLineChars="200"/>
        <w:outlineLvl w:val="9"/>
        <w:rPr>
          <w:rFonts w:hint="eastAsia" w:ascii="仿宋" w:hAnsi="仿宋" w:eastAsia="仿宋" w:cs="仿宋"/>
          <w:b/>
          <w:bCs/>
          <w:color w:val="auto"/>
          <w:sz w:val="24"/>
        </w:rPr>
      </w:pPr>
      <w:bookmarkStart w:id="33" w:name="_Toc526085897"/>
      <w:bookmarkStart w:id="34" w:name="_Toc508703894"/>
      <w:bookmarkStart w:id="35" w:name="_Toc508702736"/>
      <w:bookmarkStart w:id="36" w:name="_Toc510449972"/>
      <w:r>
        <w:rPr>
          <w:rFonts w:hint="eastAsia" w:ascii="仿宋" w:hAnsi="仿宋" w:eastAsia="仿宋" w:cs="仿宋"/>
          <w:b/>
          <w:bCs/>
          <w:color w:val="auto"/>
          <w:sz w:val="24"/>
        </w:rPr>
        <w:t>1.10 交通运输</w:t>
      </w:r>
      <w:bookmarkEnd w:id="33"/>
      <w:bookmarkEnd w:id="34"/>
      <w:bookmarkEnd w:id="35"/>
      <w:bookmarkEnd w:id="36"/>
    </w:p>
    <w:p w14:paraId="309ECC25">
      <w:pPr>
        <w:spacing w:line="360" w:lineRule="auto"/>
        <w:ind w:firstLine="480" w:firstLineChars="200"/>
        <w:outlineLvl w:val="9"/>
        <w:rPr>
          <w:rFonts w:hint="eastAsia" w:ascii="仿宋" w:hAnsi="仿宋" w:eastAsia="仿宋" w:cs="仿宋"/>
          <w:color w:val="auto"/>
          <w:sz w:val="24"/>
        </w:rPr>
      </w:pPr>
      <w:bookmarkStart w:id="37" w:name="_Toc526085898"/>
      <w:bookmarkStart w:id="38" w:name="_Toc510449973"/>
      <w:bookmarkStart w:id="39" w:name="_Toc508703895"/>
      <w:bookmarkStart w:id="40" w:name="_Toc508702737"/>
      <w:r>
        <w:rPr>
          <w:rFonts w:hint="eastAsia" w:ascii="仿宋" w:hAnsi="仿宋" w:eastAsia="仿宋" w:cs="仿宋"/>
          <w:color w:val="auto"/>
          <w:sz w:val="24"/>
        </w:rPr>
        <w:t>1</w:t>
      </w:r>
      <w:bookmarkStart w:id="41" w:name="_Toc300934944"/>
      <w:bookmarkStart w:id="42" w:name="_Toc304295522"/>
      <w:bookmarkStart w:id="43" w:name="_Toc312677987"/>
      <w:bookmarkStart w:id="44" w:name="_Toc303539101"/>
      <w:bookmarkStart w:id="45" w:name="_Toc318581156"/>
      <w:r>
        <w:rPr>
          <w:rFonts w:hint="eastAsia" w:ascii="仿宋" w:hAnsi="仿宋" w:eastAsia="仿宋" w:cs="仿宋"/>
          <w:color w:val="auto"/>
          <w:sz w:val="24"/>
        </w:rPr>
        <w:t>.10.3 场内交通</w:t>
      </w:r>
      <w:bookmarkEnd w:id="37"/>
      <w:bookmarkEnd w:id="38"/>
      <w:bookmarkEnd w:id="39"/>
      <w:bookmarkEnd w:id="40"/>
    </w:p>
    <w:p w14:paraId="2E6AF9A9">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kern w:val="0"/>
          <w:sz w:val="24"/>
        </w:rPr>
        <w:t>关于场外交通和场内交通的边界的约定：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场外交通和场内交通的边界以设计图纸红线为准。承包人已知悉场外交通设施的技术参数和具体条件，确认场外交通设施可以满足工程施工需要</w:t>
      </w:r>
      <w:r>
        <w:rPr>
          <w:rFonts w:hint="eastAsia" w:ascii="仿宋" w:hAnsi="仿宋" w:eastAsia="仿宋" w:cs="仿宋"/>
          <w:color w:val="auto"/>
          <w:sz w:val="24"/>
          <w:u w:val="none"/>
          <w:lang w:val="en-US" w:eastAsia="zh-CN"/>
        </w:rPr>
        <w:t xml:space="preserve">。 </w:t>
      </w:r>
    </w:p>
    <w:p w14:paraId="6B04E42F">
      <w:pPr>
        <w:spacing w:line="360" w:lineRule="auto"/>
        <w:ind w:firstLine="482" w:firstLineChars="200"/>
        <w:rPr>
          <w:rFonts w:hint="eastAsia" w:ascii="仿宋" w:hAnsi="仿宋" w:eastAsia="仿宋" w:cs="仿宋"/>
          <w:b/>
          <w:bCs/>
          <w:color w:val="auto"/>
          <w:sz w:val="24"/>
          <w:u w:val="none"/>
          <w:lang w:val="en-US" w:eastAsia="zh-CN"/>
        </w:rPr>
      </w:pPr>
      <w:r>
        <w:rPr>
          <w:rFonts w:hint="eastAsia" w:ascii="仿宋" w:hAnsi="仿宋" w:eastAsia="仿宋" w:cs="仿宋"/>
          <w:b/>
          <w:bCs/>
          <w:color w:val="auto"/>
          <w:sz w:val="24"/>
          <w:u w:val="none"/>
          <w:lang w:val="en-US" w:eastAsia="zh-CN"/>
        </w:rPr>
        <w:t>1.11知识产权</w:t>
      </w:r>
    </w:p>
    <w:p w14:paraId="0D949816">
      <w:pPr>
        <w:spacing w:line="360" w:lineRule="auto"/>
        <w:ind w:firstLine="480" w:firstLineChars="200"/>
        <w:rPr>
          <w:rFonts w:hint="default"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本项目实施过程中产生的相关文件著作权属于</w:t>
      </w:r>
      <w:r>
        <w:rPr>
          <w:rFonts w:hint="default" w:ascii="仿宋" w:hAnsi="仿宋" w:eastAsia="仿宋" w:cs="仿宋"/>
          <w:color w:val="auto"/>
          <w:sz w:val="24"/>
          <w:u w:val="single"/>
          <w:lang w:val="en-US" w:eastAsia="zh-CN"/>
        </w:rPr>
        <w:t>采购人</w:t>
      </w:r>
    </w:p>
    <w:bookmarkEnd w:id="41"/>
    <w:bookmarkEnd w:id="42"/>
    <w:bookmarkEnd w:id="43"/>
    <w:bookmarkEnd w:id="44"/>
    <w:bookmarkEnd w:id="45"/>
    <w:p w14:paraId="1E9F3A6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1.13工程量清单错误的修正</w:t>
      </w:r>
    </w:p>
    <w:p w14:paraId="01C2ECC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出现工程量清单错误时，是否调整合同价格：</w:t>
      </w:r>
      <w:r>
        <w:rPr>
          <w:rFonts w:hint="eastAsia" w:ascii="仿宋" w:hAnsi="仿宋" w:eastAsia="仿宋" w:cs="仿宋"/>
          <w:color w:val="auto"/>
          <w:sz w:val="24"/>
          <w:u w:val="single"/>
          <w:lang w:val="en-US" w:eastAsia="zh-CN"/>
        </w:rPr>
        <w:t>工程量出现偏差时，据实调整，工程量偏差多少，综合单价均不做调整。工程量调整后：（a）清单或合同中已有适用于新工程量清单项目的价格，按已有价格变更合同价款；（b）清单或合同中只有类似于新工程量清单项目的价格，可以参照类似价格变更合同价款；（c）清单或合同中没有类似于新工程量清单项目的价格，由承包人提出适当的价格，经监理工程师及发包方共同确认后执行</w:t>
      </w:r>
      <w:r>
        <w:rPr>
          <w:rFonts w:hint="eastAsia" w:ascii="仿宋" w:hAnsi="仿宋" w:eastAsia="仿宋" w:cs="仿宋"/>
          <w:color w:val="auto"/>
          <w:kern w:val="0"/>
          <w:sz w:val="24"/>
        </w:rPr>
        <w:t>。</w:t>
      </w:r>
    </w:p>
    <w:p w14:paraId="65CB43E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允许调整合同价格的工程量偏差范围：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kern w:val="0"/>
          <w:sz w:val="24"/>
        </w:rPr>
        <w:t>。</w:t>
      </w:r>
    </w:p>
    <w:p w14:paraId="66AD3597">
      <w:pPr>
        <w:numPr>
          <w:ilvl w:val="3"/>
          <w:numId w:val="1"/>
        </w:numPr>
        <w:spacing w:before="0" w:after="0" w:line="360" w:lineRule="auto"/>
        <w:outlineLvl w:val="9"/>
        <w:rPr>
          <w:rFonts w:hint="eastAsia" w:ascii="仿宋" w:hAnsi="仿宋" w:eastAsia="仿宋" w:cs="仿宋"/>
          <w:b/>
          <w:bCs/>
          <w:color w:val="auto"/>
          <w:sz w:val="24"/>
          <w:szCs w:val="24"/>
        </w:rPr>
      </w:pPr>
      <w:bookmarkStart w:id="46" w:name="_Toc351203634"/>
      <w:r>
        <w:rPr>
          <w:rFonts w:hint="eastAsia" w:ascii="仿宋" w:hAnsi="仿宋" w:eastAsia="仿宋" w:cs="仿宋"/>
          <w:b/>
          <w:bCs/>
          <w:color w:val="auto"/>
          <w:sz w:val="24"/>
          <w:szCs w:val="24"/>
        </w:rPr>
        <w:t>2</w:t>
      </w:r>
      <w:bookmarkStart w:id="47" w:name="_Toc296347156"/>
      <w:bookmarkStart w:id="48" w:name="_Toc296503157"/>
      <w:bookmarkStart w:id="49" w:name="_Toc297120457"/>
      <w:bookmarkStart w:id="50" w:name="_Toc297048343"/>
      <w:bookmarkStart w:id="51" w:name="_Toc296346658"/>
      <w:bookmarkStart w:id="52" w:name="_Toc296890985"/>
      <w:bookmarkStart w:id="53" w:name="_Toc292559362"/>
      <w:bookmarkStart w:id="54" w:name="_Toc292559867"/>
      <w:bookmarkStart w:id="55" w:name="_Toc296891197"/>
      <w:bookmarkStart w:id="56" w:name="_Toc296944496"/>
      <w:r>
        <w:rPr>
          <w:rFonts w:hint="eastAsia" w:ascii="仿宋" w:hAnsi="仿宋" w:eastAsia="仿宋" w:cs="仿宋"/>
          <w:b/>
          <w:bCs/>
          <w:color w:val="auto"/>
          <w:sz w:val="24"/>
          <w:szCs w:val="24"/>
        </w:rPr>
        <w:t>. 发包人</w:t>
      </w:r>
      <w:bookmarkEnd w:id="46"/>
    </w:p>
    <w:bookmarkEnd w:id="47"/>
    <w:bookmarkEnd w:id="48"/>
    <w:bookmarkEnd w:id="49"/>
    <w:bookmarkEnd w:id="50"/>
    <w:bookmarkEnd w:id="51"/>
    <w:bookmarkEnd w:id="52"/>
    <w:bookmarkEnd w:id="53"/>
    <w:bookmarkEnd w:id="54"/>
    <w:bookmarkEnd w:id="55"/>
    <w:bookmarkEnd w:id="56"/>
    <w:p w14:paraId="0DEED80A">
      <w:pPr>
        <w:spacing w:line="360" w:lineRule="auto"/>
        <w:ind w:firstLine="482" w:firstLineChars="200"/>
        <w:outlineLvl w:val="9"/>
        <w:rPr>
          <w:rFonts w:hint="eastAsia" w:ascii="仿宋" w:hAnsi="仿宋" w:eastAsia="仿宋" w:cs="仿宋"/>
          <w:b/>
          <w:bCs/>
          <w:color w:val="auto"/>
          <w:sz w:val="24"/>
        </w:rPr>
      </w:pPr>
      <w:bookmarkStart w:id="57" w:name="_Toc526085899"/>
      <w:bookmarkStart w:id="58" w:name="_Toc510449974"/>
      <w:bookmarkStart w:id="59" w:name="_Toc508703896"/>
      <w:bookmarkStart w:id="60" w:name="_Toc508702738"/>
      <w:r>
        <w:rPr>
          <w:rFonts w:hint="eastAsia" w:ascii="仿宋" w:hAnsi="仿宋" w:eastAsia="仿宋" w:cs="仿宋"/>
          <w:b/>
          <w:bCs/>
          <w:color w:val="auto"/>
          <w:sz w:val="24"/>
        </w:rPr>
        <w:t>2.5 资金来源证明及支付担保</w:t>
      </w:r>
      <w:bookmarkEnd w:id="57"/>
      <w:bookmarkEnd w:id="58"/>
      <w:bookmarkEnd w:id="59"/>
      <w:bookmarkEnd w:id="60"/>
    </w:p>
    <w:p w14:paraId="1FABA47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发包人是否提供支付担保：</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1C9446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发包人提供支付担保的形式：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1F7008D">
      <w:pPr>
        <w:numPr>
          <w:ilvl w:val="3"/>
          <w:numId w:val="1"/>
        </w:numPr>
        <w:spacing w:before="0" w:after="0" w:line="360" w:lineRule="auto"/>
        <w:outlineLvl w:val="9"/>
        <w:rPr>
          <w:rFonts w:hint="eastAsia" w:ascii="仿宋" w:hAnsi="仿宋" w:eastAsia="仿宋" w:cs="仿宋"/>
          <w:b/>
          <w:bCs/>
          <w:color w:val="auto"/>
          <w:sz w:val="24"/>
          <w:szCs w:val="24"/>
        </w:rPr>
      </w:pPr>
      <w:bookmarkStart w:id="61" w:name="_Toc351203635"/>
      <w:r>
        <w:rPr>
          <w:rFonts w:hint="eastAsia" w:ascii="仿宋" w:hAnsi="仿宋" w:eastAsia="仿宋" w:cs="仿宋"/>
          <w:b/>
          <w:bCs/>
          <w:color w:val="auto"/>
          <w:sz w:val="24"/>
          <w:szCs w:val="24"/>
        </w:rPr>
        <w:t>3</w:t>
      </w:r>
      <w:bookmarkStart w:id="62" w:name="_Toc296503158"/>
      <w:bookmarkStart w:id="63" w:name="_Toc292559363"/>
      <w:bookmarkStart w:id="64" w:name="_Toc297120458"/>
      <w:bookmarkStart w:id="65" w:name="_Toc296944497"/>
      <w:bookmarkStart w:id="66" w:name="_Toc296346659"/>
      <w:bookmarkStart w:id="67" w:name="_Toc292559868"/>
      <w:bookmarkStart w:id="68" w:name="_Toc297048344"/>
      <w:bookmarkStart w:id="69" w:name="_Toc296890986"/>
      <w:bookmarkStart w:id="70" w:name="_Toc296891198"/>
      <w:bookmarkStart w:id="71" w:name="_Toc296347157"/>
      <w:r>
        <w:rPr>
          <w:rFonts w:hint="eastAsia" w:ascii="仿宋" w:hAnsi="仿宋" w:eastAsia="仿宋" w:cs="仿宋"/>
          <w:b/>
          <w:bCs/>
          <w:color w:val="auto"/>
          <w:sz w:val="24"/>
          <w:szCs w:val="24"/>
        </w:rPr>
        <w:t>. 承包人</w:t>
      </w:r>
      <w:bookmarkEnd w:id="61"/>
    </w:p>
    <w:bookmarkEnd w:id="62"/>
    <w:bookmarkEnd w:id="63"/>
    <w:bookmarkEnd w:id="64"/>
    <w:bookmarkEnd w:id="65"/>
    <w:bookmarkEnd w:id="66"/>
    <w:bookmarkEnd w:id="67"/>
    <w:bookmarkEnd w:id="68"/>
    <w:bookmarkEnd w:id="69"/>
    <w:bookmarkEnd w:id="70"/>
    <w:bookmarkEnd w:id="71"/>
    <w:p w14:paraId="1AD18072">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3.1 承包人的一般义务</w:t>
      </w:r>
    </w:p>
    <w:p w14:paraId="23091815">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（10）承包人应履行的其他义务：</w:t>
      </w:r>
    </w:p>
    <w:p w14:paraId="45CC07CB">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a、本工程项目经理应常驻工地</w:t>
      </w:r>
      <w:r>
        <w:rPr>
          <w:rFonts w:hint="eastAsia" w:ascii="仿宋" w:hAnsi="仿宋" w:eastAsia="仿宋" w:cs="仿宋"/>
          <w:color w:val="auto"/>
          <w:sz w:val="24"/>
          <w:u w:val="none"/>
          <w:lang w:val="en-US" w:eastAsia="zh-CN"/>
        </w:rPr>
        <w:t xml:space="preserve">。 </w:t>
      </w:r>
    </w:p>
    <w:p w14:paraId="76E3DBFF">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b、指定专人协调施工单位文明施工建设方面的问题</w:t>
      </w:r>
      <w:r>
        <w:rPr>
          <w:rFonts w:hint="eastAsia" w:ascii="仿宋" w:hAnsi="仿宋" w:eastAsia="仿宋" w:cs="仿宋"/>
          <w:i w:val="0"/>
          <w:iCs w:val="0"/>
          <w:color w:val="auto"/>
          <w:sz w:val="24"/>
          <w:u w:val="none"/>
          <w:lang w:val="en-US" w:eastAsia="zh-CN"/>
        </w:rPr>
        <w:t xml:space="preserve">。 </w:t>
      </w:r>
    </w:p>
    <w:p w14:paraId="55A2DC3D">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c）承包人的到位人员及设备配置必须和投标书施工组织设计所列人员及设备配置相符，未经发包人同意，承包人不得擅自更换发包人在招标时认定的本工程项目经理及施工队伍</w:t>
      </w:r>
      <w:r>
        <w:rPr>
          <w:rFonts w:hint="eastAsia" w:ascii="仿宋" w:hAnsi="仿宋" w:eastAsia="仿宋" w:cs="仿宋"/>
          <w:color w:val="auto"/>
          <w:sz w:val="24"/>
          <w:u w:val="none"/>
          <w:lang w:val="en-US" w:eastAsia="zh-CN"/>
        </w:rPr>
        <w:t xml:space="preserve">。 </w:t>
      </w:r>
    </w:p>
    <w:p w14:paraId="0E48D39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d）承包人在施工过程中，资料和工程进度必须同步；在工程竣工验收前，承包人要按规定将竣工资料交监理验收，由监理出具相应证明后，发包人方组织验收</w:t>
      </w:r>
      <w:r>
        <w:rPr>
          <w:rFonts w:hint="eastAsia" w:ascii="仿宋" w:hAnsi="仿宋" w:eastAsia="仿宋" w:cs="仿宋"/>
          <w:color w:val="auto"/>
          <w:sz w:val="24"/>
          <w:u w:val="none"/>
          <w:lang w:val="en-US" w:eastAsia="zh-CN"/>
        </w:rPr>
        <w:t xml:space="preserve">。 </w:t>
      </w:r>
    </w:p>
    <w:p w14:paraId="24550DA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e）承包人在工程施工管理过程中应当推行标准化管理，开工前应当建立健全各项规章制度和有关程序文件等。承包人在进入施工现场直至工程竣工验收移交期间，应当遵守发包人的有关管理制度及施工制度，接受发包人有关部门的相应管理</w:t>
      </w:r>
      <w:r>
        <w:rPr>
          <w:rFonts w:hint="eastAsia" w:ascii="仿宋" w:hAnsi="仿宋" w:eastAsia="仿宋" w:cs="仿宋"/>
          <w:color w:val="auto"/>
          <w:sz w:val="24"/>
          <w:u w:val="none"/>
          <w:lang w:val="en-US" w:eastAsia="zh-CN"/>
        </w:rPr>
        <w:t xml:space="preserve">。 </w:t>
      </w:r>
    </w:p>
    <w:p w14:paraId="0F211564">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f）承包人必须按照自报的并经监理和发包人审定的施工组织设计方案进行施工，不得任意修改和变更其内容、方法等。确需修改时，应当会同监理、发包人商议，取得监理和发包人同意。但不能因施工组织设计的变化而调整中标价。承包人使用新材料新工艺应征得发包人及监理认可，且不得增加费用</w:t>
      </w:r>
      <w:r>
        <w:rPr>
          <w:rFonts w:hint="eastAsia" w:ascii="仿宋" w:hAnsi="仿宋" w:eastAsia="仿宋" w:cs="仿宋"/>
          <w:color w:val="auto"/>
          <w:sz w:val="24"/>
          <w:u w:val="none"/>
          <w:lang w:val="en-US" w:eastAsia="zh-CN"/>
        </w:rPr>
        <w:t xml:space="preserve">。 </w:t>
      </w:r>
    </w:p>
    <w:p w14:paraId="47F6FC5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g）承包人负责完成本工程的综合验收、维护交接、城建档案归档和竣工验收备案工作，否则按本工程未完成对待</w:t>
      </w:r>
      <w:r>
        <w:rPr>
          <w:rFonts w:hint="eastAsia" w:ascii="仿宋" w:hAnsi="仿宋" w:eastAsia="仿宋" w:cs="仿宋"/>
          <w:color w:val="auto"/>
          <w:sz w:val="24"/>
          <w:u w:val="none"/>
          <w:lang w:val="en-US" w:eastAsia="zh-CN"/>
        </w:rPr>
        <w:t xml:space="preserve">。 </w:t>
      </w:r>
    </w:p>
    <w:p w14:paraId="52C8D7F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h）承包人对监理工程师受发包人委托，在所规定的职责范围内对工程实施的监理必须服从、接受并配合监理工程师的工作</w:t>
      </w:r>
      <w:r>
        <w:rPr>
          <w:rFonts w:hint="eastAsia" w:ascii="仿宋" w:hAnsi="仿宋" w:eastAsia="仿宋" w:cs="仿宋"/>
          <w:color w:val="auto"/>
          <w:sz w:val="24"/>
          <w:u w:val="none"/>
          <w:lang w:val="en-US" w:eastAsia="zh-CN"/>
        </w:rPr>
        <w:t xml:space="preserve">。 </w:t>
      </w:r>
    </w:p>
    <w:p w14:paraId="3DE7704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i）承包人应当在财务管理中单独核算列出安全防护、文明施工措施费用，确保按时发放农民工工资，且必须有详细的费用支付计划表</w:t>
      </w:r>
      <w:r>
        <w:rPr>
          <w:rFonts w:hint="eastAsia" w:ascii="仿宋" w:hAnsi="仿宋" w:eastAsia="仿宋" w:cs="仿宋"/>
          <w:color w:val="auto"/>
          <w:sz w:val="24"/>
          <w:u w:val="none"/>
          <w:lang w:val="en-US" w:eastAsia="zh-CN"/>
        </w:rPr>
        <w:t xml:space="preserve">。 </w:t>
      </w:r>
    </w:p>
    <w:p w14:paraId="096A9D54">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3.2 项目经理</w:t>
      </w:r>
    </w:p>
    <w:p w14:paraId="5BDCD052">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姓名：___________职务：___________________</w:t>
      </w:r>
    </w:p>
    <w:p w14:paraId="55FD5A31">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kern w:val="0"/>
          <w:sz w:val="24"/>
        </w:rPr>
        <w:t>关于项目经理每月在施工现场的时间要求：</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项目经理应常驻工地，在岗时间每月不得少于22天，不得更换，如有特殊原因必须更换，需报监理工程师批准，经发包人同意后，才能进行正式更换。如更换后的项目经理仍旧不能胜任本职工作，发包人有权单方解除本合同。承包人擅自更换项目经理或未按照上述约定更换项目经理的，应在发包人要求的期限内整改，逾期整改的，每逾期一日，应向发包人支付违约金500元</w:t>
      </w:r>
      <w:r>
        <w:rPr>
          <w:rFonts w:hint="eastAsia" w:ascii="仿宋" w:hAnsi="仿宋" w:eastAsia="仿宋" w:cs="仿宋"/>
          <w:color w:val="auto"/>
          <w:sz w:val="24"/>
          <w:u w:val="none"/>
          <w:lang w:val="en-US" w:eastAsia="zh-CN"/>
        </w:rPr>
        <w:t>。</w:t>
      </w:r>
    </w:p>
    <w:p w14:paraId="22651A5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承包人未提交劳动合同，以及没有为项目经理缴纳社会保险证明的违约责任：</w:t>
      </w:r>
      <w:r>
        <w:rPr>
          <w:rFonts w:hint="eastAsia" w:ascii="仿宋" w:hAnsi="仿宋" w:eastAsia="仿宋" w:cs="仿宋"/>
          <w:color w:val="auto"/>
          <w:sz w:val="24"/>
          <w:u w:val="single"/>
          <w:lang w:val="en-US" w:eastAsia="zh-CN"/>
        </w:rPr>
        <w:t>中标项目经理即为施工项目经理，承包人应自本合同签订之日起 3 日内向发包人提交项目经理与承包人之间的劳动合同，以及承包人为项目经理缴纳社会保险的有效证明，否则每逾期一天，承包人应向发包人支付违约金500元</w:t>
      </w:r>
      <w:r>
        <w:rPr>
          <w:rFonts w:hint="eastAsia" w:ascii="仿宋" w:hAnsi="仿宋" w:eastAsia="仿宋" w:cs="仿宋"/>
          <w:color w:val="auto"/>
          <w:sz w:val="24"/>
          <w:u w:val="none"/>
          <w:lang w:val="en-US" w:eastAsia="zh-CN"/>
        </w:rPr>
        <w:t xml:space="preserve">。 </w:t>
      </w:r>
    </w:p>
    <w:p w14:paraId="16B587B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kern w:val="0"/>
          <w:sz w:val="24"/>
        </w:rPr>
        <w:t>项目经理未经批准，擅自离开施工现场的违约责任：</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项目经理擅自离开施工现场的，应在发包人要求的期限内返回施工现场。逾期不返回的，承包人应自项目经理擅自离开之日起每日向发包人支付违约金 1000 元，逾期达 10 日，发包人有权解除本合同</w:t>
      </w:r>
      <w:r>
        <w:rPr>
          <w:rFonts w:hint="eastAsia" w:ascii="仿宋" w:hAnsi="仿宋" w:eastAsia="仿宋" w:cs="仿宋"/>
          <w:color w:val="auto"/>
          <w:sz w:val="24"/>
          <w:u w:val="none"/>
          <w:lang w:val="en-US" w:eastAsia="zh-CN"/>
        </w:rPr>
        <w:t>。</w:t>
      </w:r>
    </w:p>
    <w:p w14:paraId="708D326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3.2.3 承包人擅自更换项目经理的违约责任：</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承包人擅自更换项目经理或未按照上述约定更换项目经理的，应在发包人要求的期限内整改，逾期整改的，每逾期一日，应向发包人支付违约金1000元，逾期达15日的，发包人有权解除本合同</w:t>
      </w:r>
      <w:r>
        <w:rPr>
          <w:rFonts w:hint="eastAsia" w:ascii="仿宋" w:hAnsi="仿宋" w:eastAsia="仿宋" w:cs="仿宋"/>
          <w:color w:val="auto"/>
          <w:sz w:val="24"/>
          <w:u w:val="none"/>
          <w:lang w:val="en-US" w:eastAsia="zh-CN"/>
        </w:rPr>
        <w:t>。</w:t>
      </w:r>
    </w:p>
    <w:p w14:paraId="0EFA5F28">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rPr>
        <w:t>3.2.4 承包人无正当理由拒绝更换项目经理的违约责任：</w:t>
      </w:r>
      <w:r>
        <w:rPr>
          <w:rFonts w:hint="eastAsia" w:ascii="仿宋" w:hAnsi="仿宋" w:eastAsia="仿宋" w:cs="仿宋"/>
          <w:color w:val="auto"/>
          <w:sz w:val="24"/>
          <w:u w:val="single"/>
          <w:lang w:val="en-US" w:eastAsia="zh-CN"/>
        </w:rPr>
        <w:t>应在发包人要求的期限内整改，逾期整改的，每逾期一日，应向发包人支付违约金1000元，逾期达15日的，发包人有权解除本合同</w:t>
      </w:r>
      <w:r>
        <w:rPr>
          <w:rFonts w:hint="eastAsia" w:ascii="仿宋" w:hAnsi="仿宋" w:eastAsia="仿宋" w:cs="仿宋"/>
          <w:color w:val="auto"/>
          <w:sz w:val="24"/>
          <w:u w:val="none"/>
          <w:lang w:val="en-US" w:eastAsia="zh-CN"/>
        </w:rPr>
        <w:t xml:space="preserve">。 </w:t>
      </w:r>
    </w:p>
    <w:p w14:paraId="4EB70D2C">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3.3 承包人人员</w:t>
      </w:r>
    </w:p>
    <w:p w14:paraId="69B05D3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3.3.3 承包人无正当理由拒绝撤换主要施工管理人员的违约责任：</w:t>
      </w:r>
      <w:r>
        <w:rPr>
          <w:rFonts w:hint="eastAsia" w:ascii="仿宋" w:hAnsi="仿宋" w:eastAsia="仿宋" w:cs="仿宋"/>
          <w:color w:val="auto"/>
          <w:sz w:val="24"/>
          <w:u w:val="single"/>
          <w:lang w:val="en-US" w:eastAsia="zh-CN"/>
        </w:rPr>
        <w:t>发包人有权责令 5 日内撤换，承包人逾期撤换的，每逾期一日，应向发包人支付违约金 1000元，由此造成的工期延误和经济损失由承包人承担</w:t>
      </w:r>
      <w:r>
        <w:rPr>
          <w:rFonts w:hint="eastAsia" w:ascii="仿宋" w:hAnsi="仿宋" w:eastAsia="仿宋" w:cs="仿宋"/>
          <w:color w:val="auto"/>
          <w:sz w:val="24"/>
          <w:u w:val="none"/>
          <w:lang w:val="en-US" w:eastAsia="zh-CN"/>
        </w:rPr>
        <w:t>。</w:t>
      </w:r>
    </w:p>
    <w:p w14:paraId="4075166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3.3.5承包人擅自更换主要施工管理人员的违约责任：</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未经发包人同意不得擅自更换主要施工管理人员，否则承包人应在发包人要求的 5 日内整改，逾期整改的，每逾期一日，应向发包人支付违约金1000 元，逾期达 15 日的，发包人有权解除本合同</w:t>
      </w:r>
      <w:r>
        <w:rPr>
          <w:rFonts w:hint="eastAsia" w:ascii="仿宋" w:hAnsi="仿宋" w:eastAsia="仿宋" w:cs="仿宋"/>
          <w:color w:val="auto"/>
          <w:kern w:val="0"/>
          <w:sz w:val="24"/>
        </w:rPr>
        <w:t>。</w:t>
      </w:r>
    </w:p>
    <w:p w14:paraId="07788651">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承包人主要施工管理人员擅自离开施工现场的违约责任：</w:t>
      </w:r>
      <w:r>
        <w:rPr>
          <w:rFonts w:hint="eastAsia" w:ascii="仿宋" w:hAnsi="仿宋" w:eastAsia="仿宋" w:cs="仿宋"/>
          <w:color w:val="auto"/>
          <w:sz w:val="24"/>
          <w:u w:val="single"/>
          <w:lang w:val="en-US" w:eastAsia="zh-CN"/>
        </w:rPr>
        <w:t>应在发包人要求的期限内返回施工现场。逾期不返回的，承包人应自主要施工管理人员擅自离开之日起按照每人每日 1000 元的标准向发包人支付违约金，逾期达 15 日，发包人有权解除本合同</w:t>
      </w:r>
      <w:r>
        <w:rPr>
          <w:rFonts w:hint="eastAsia" w:ascii="仿宋" w:hAnsi="仿宋" w:eastAsia="仿宋" w:cs="仿宋"/>
          <w:color w:val="auto"/>
          <w:sz w:val="24"/>
          <w:u w:val="none"/>
          <w:lang w:val="en-US" w:eastAsia="zh-CN"/>
        </w:rPr>
        <w:t>。</w:t>
      </w:r>
    </w:p>
    <w:p w14:paraId="6AE1FD3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w:t>
      </w:r>
      <w:bookmarkStart w:id="72" w:name="_Toc296346660"/>
      <w:bookmarkStart w:id="73" w:name="_Toc297123492"/>
      <w:bookmarkStart w:id="74" w:name="_Toc292559869"/>
      <w:bookmarkStart w:id="75" w:name="_Toc300934945"/>
      <w:bookmarkStart w:id="76" w:name="_Toc296944498"/>
      <w:bookmarkStart w:id="77" w:name="_Toc304295523"/>
      <w:bookmarkStart w:id="78" w:name="_Toc296890987"/>
      <w:bookmarkStart w:id="79" w:name="_Toc297216151"/>
      <w:bookmarkStart w:id="80" w:name="_Toc296503159"/>
      <w:bookmarkStart w:id="81" w:name="_Toc297048345"/>
      <w:bookmarkStart w:id="82" w:name="_Toc303539102"/>
      <w:bookmarkStart w:id="83" w:name="_Toc312677988"/>
      <w:bookmarkStart w:id="84" w:name="_Toc292559364"/>
      <w:bookmarkStart w:id="85" w:name="_Toc296347158"/>
      <w:bookmarkStart w:id="86" w:name="_Toc297120459"/>
      <w:bookmarkStart w:id="87" w:name="_Toc296891199"/>
      <w:r>
        <w:rPr>
          <w:rFonts w:hint="eastAsia" w:ascii="仿宋" w:hAnsi="仿宋" w:eastAsia="仿宋" w:cs="仿宋"/>
          <w:b/>
          <w:bCs/>
          <w:color w:val="auto"/>
          <w:sz w:val="24"/>
        </w:rPr>
        <w:t>.5 分包</w:t>
      </w:r>
    </w:p>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14:paraId="4EA2BE1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bookmarkStart w:id="88" w:name="_Toc292559365"/>
      <w:bookmarkStart w:id="89" w:name="_Toc296944499"/>
      <w:bookmarkStart w:id="90" w:name="_Toc303539103"/>
      <w:bookmarkStart w:id="91" w:name="_Toc296347159"/>
      <w:bookmarkStart w:id="92" w:name="_Toc296890988"/>
      <w:bookmarkStart w:id="93" w:name="_Toc304295524"/>
      <w:bookmarkStart w:id="94" w:name="_Toc296891200"/>
      <w:bookmarkStart w:id="95" w:name="_Toc297123493"/>
      <w:bookmarkStart w:id="96" w:name="_Toc292559870"/>
      <w:bookmarkStart w:id="97" w:name="_Toc300934946"/>
      <w:bookmarkStart w:id="98" w:name="_Toc297120460"/>
      <w:bookmarkStart w:id="99" w:name="_Toc297216152"/>
      <w:bookmarkStart w:id="100" w:name="_Toc297048346"/>
      <w:bookmarkStart w:id="101" w:name="_Toc296346661"/>
      <w:bookmarkStart w:id="102" w:name="_Toc296503160"/>
      <w:bookmarkStart w:id="103" w:name="_Toc312677989"/>
      <w:bookmarkStart w:id="104" w:name="_Toc318581158"/>
      <w:r>
        <w:rPr>
          <w:rFonts w:hint="eastAsia" w:ascii="仿宋" w:hAnsi="仿宋" w:eastAsia="仿宋" w:cs="仿宋"/>
          <w:color w:val="auto"/>
          <w:sz w:val="24"/>
        </w:rPr>
        <w:t>.5.1 分包的一般约定</w:t>
      </w:r>
    </w:p>
    <w:p w14:paraId="55C95E8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禁止分包的工程包括：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34C7FB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主体结构、关键性工作的范围：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Start w:id="105" w:name="_Toc296944500"/>
      <w:bookmarkStart w:id="106" w:name="_Toc303539104"/>
      <w:bookmarkStart w:id="107" w:name="_Toc300934947"/>
      <w:bookmarkStart w:id="108" w:name="_Toc296346662"/>
      <w:bookmarkStart w:id="109" w:name="_Toc296503161"/>
      <w:bookmarkStart w:id="110" w:name="_Toc296347160"/>
      <w:bookmarkStart w:id="111" w:name="_Toc296891201"/>
      <w:bookmarkStart w:id="112" w:name="_Toc296890989"/>
      <w:bookmarkStart w:id="113" w:name="_Toc297048347"/>
      <w:bookmarkStart w:id="114" w:name="_Toc297123494"/>
      <w:bookmarkStart w:id="115" w:name="_Toc297216153"/>
      <w:bookmarkStart w:id="116" w:name="_Toc304295525"/>
      <w:bookmarkStart w:id="117" w:name="_Toc297120461"/>
    </w:p>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14:paraId="4A4867A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bookmarkStart w:id="118" w:name="_Toc318581159"/>
      <w:bookmarkStart w:id="119" w:name="_Toc312677990"/>
      <w:r>
        <w:rPr>
          <w:rFonts w:hint="eastAsia" w:ascii="仿宋" w:hAnsi="仿宋" w:eastAsia="仿宋" w:cs="仿宋"/>
          <w:color w:val="auto"/>
          <w:sz w:val="24"/>
        </w:rPr>
        <w:t>.5.2分包的确定</w:t>
      </w:r>
    </w:p>
    <w:p w14:paraId="560DFAB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允许分包的专业工程包括：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43C2D8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其他关于分包的约定：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F1AAC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3.5.4 分包合同价款</w:t>
      </w:r>
    </w:p>
    <w:p w14:paraId="2844D63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关于分包合同价款支付的约定：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bookmarkEnd w:id="118"/>
    <w:bookmarkEnd w:id="119"/>
    <w:p w14:paraId="0C18B81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3.7 履约担保</w:t>
      </w:r>
    </w:p>
    <w:p w14:paraId="1B1EADC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承包人是否提供履约担保：</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604365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承包人提供履约担保的形式、金额及期限：</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A2B662F">
      <w:pPr>
        <w:numPr>
          <w:ilvl w:val="3"/>
          <w:numId w:val="1"/>
        </w:numPr>
        <w:spacing w:before="0" w:after="0" w:line="360" w:lineRule="auto"/>
        <w:outlineLvl w:val="9"/>
        <w:rPr>
          <w:rFonts w:hint="eastAsia" w:ascii="仿宋" w:hAnsi="仿宋" w:eastAsia="仿宋" w:cs="仿宋"/>
          <w:b/>
          <w:bCs/>
          <w:color w:val="auto"/>
          <w:sz w:val="24"/>
          <w:szCs w:val="24"/>
        </w:rPr>
      </w:pPr>
      <w:bookmarkStart w:id="120" w:name="_Toc267251418"/>
      <w:bookmarkStart w:id="121" w:name="_Toc351203637"/>
      <w:r>
        <w:rPr>
          <w:rFonts w:hint="eastAsia" w:ascii="仿宋" w:hAnsi="仿宋" w:eastAsia="仿宋" w:cs="仿宋"/>
          <w:b/>
          <w:bCs/>
          <w:color w:val="auto"/>
          <w:sz w:val="24"/>
          <w:szCs w:val="24"/>
        </w:rPr>
        <w:t>5</w:t>
      </w:r>
      <w:bookmarkEnd w:id="120"/>
      <w:bookmarkStart w:id="122" w:name="_Toc296346664"/>
      <w:bookmarkStart w:id="123" w:name="_Toc297048349"/>
      <w:bookmarkStart w:id="124" w:name="_Toc296944502"/>
      <w:bookmarkStart w:id="125" w:name="_Toc296347162"/>
      <w:bookmarkStart w:id="126" w:name="_Toc296503163"/>
      <w:bookmarkStart w:id="127" w:name="_Toc296890991"/>
      <w:bookmarkStart w:id="128" w:name="_Toc292559367"/>
      <w:bookmarkStart w:id="129" w:name="_Toc296891203"/>
      <w:bookmarkStart w:id="130" w:name="_Toc297120463"/>
      <w:bookmarkStart w:id="131" w:name="_Toc292559872"/>
      <w:r>
        <w:rPr>
          <w:rFonts w:hint="eastAsia" w:ascii="仿宋" w:hAnsi="仿宋" w:eastAsia="仿宋" w:cs="仿宋"/>
          <w:b/>
          <w:bCs/>
          <w:color w:val="auto"/>
          <w:sz w:val="24"/>
          <w:szCs w:val="24"/>
        </w:rPr>
        <w:t>. 工程质量</w:t>
      </w:r>
      <w:bookmarkEnd w:id="121"/>
    </w:p>
    <w:p w14:paraId="56F84ECD">
      <w:pPr>
        <w:spacing w:line="360" w:lineRule="auto"/>
        <w:ind w:firstLine="482" w:firstLineChars="200"/>
        <w:outlineLvl w:val="9"/>
        <w:rPr>
          <w:rFonts w:hint="eastAsia" w:ascii="仿宋" w:hAnsi="仿宋" w:eastAsia="仿宋" w:cs="仿宋"/>
          <w:b/>
          <w:bCs/>
          <w:color w:val="auto"/>
          <w:sz w:val="24"/>
        </w:rPr>
      </w:pPr>
      <w:bookmarkStart w:id="132" w:name="_Toc526085900"/>
      <w:bookmarkStart w:id="133" w:name="_Toc510449975"/>
      <w:bookmarkStart w:id="134" w:name="_Toc508703897"/>
      <w:bookmarkStart w:id="135" w:name="_Toc508702739"/>
      <w:r>
        <w:rPr>
          <w:rFonts w:hint="eastAsia" w:ascii="仿宋" w:hAnsi="仿宋" w:eastAsia="仿宋" w:cs="仿宋"/>
          <w:b/>
          <w:bCs/>
          <w:color w:val="auto"/>
          <w:sz w:val="24"/>
        </w:rPr>
        <w:t>5.1 质量要求</w:t>
      </w:r>
      <w:bookmarkEnd w:id="132"/>
      <w:bookmarkEnd w:id="133"/>
      <w:bookmarkEnd w:id="134"/>
      <w:bookmarkEnd w:id="135"/>
    </w:p>
    <w:p w14:paraId="3EB5A7A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5</w:t>
      </w:r>
      <w:bookmarkStart w:id="136" w:name="_Toc312677997"/>
      <w:bookmarkStart w:id="137" w:name="_Toc303539106"/>
      <w:bookmarkStart w:id="138" w:name="_Toc297216155"/>
      <w:bookmarkStart w:id="139" w:name="_Toc297123496"/>
      <w:bookmarkStart w:id="140" w:name="_Toc304295527"/>
      <w:bookmarkStart w:id="141" w:name="_Toc300934949"/>
      <w:bookmarkStart w:id="142" w:name="_Toc318581164"/>
      <w:r>
        <w:rPr>
          <w:rFonts w:hint="eastAsia" w:ascii="仿宋" w:hAnsi="仿宋" w:eastAsia="仿宋" w:cs="仿宋"/>
          <w:color w:val="auto"/>
          <w:sz w:val="24"/>
        </w:rPr>
        <w:t>.1.1 特殊质量标准和要求：</w:t>
      </w:r>
      <w:r>
        <w:rPr>
          <w:rFonts w:hint="eastAsia" w:ascii="仿宋" w:hAnsi="仿宋" w:eastAsia="仿宋" w:cs="仿宋"/>
          <w:color w:val="auto"/>
          <w:sz w:val="24"/>
          <w:u w:val="single"/>
          <w:lang w:val="en-US" w:eastAsia="zh-CN"/>
        </w:rPr>
        <w:t>符合设计图纸、技术文件和国家要求的验收标准</w:t>
      </w:r>
      <w:r>
        <w:rPr>
          <w:rFonts w:hint="eastAsia" w:ascii="仿宋" w:hAnsi="仿宋" w:eastAsia="仿宋" w:cs="仿宋"/>
          <w:color w:val="auto"/>
          <w:sz w:val="24"/>
          <w:u w:val="none"/>
        </w:rPr>
        <w:t>。</w:t>
      </w:r>
    </w:p>
    <w:p w14:paraId="49E4CDCC">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关于工程质量的约定：</w:t>
      </w:r>
      <w:r>
        <w:rPr>
          <w:rFonts w:hint="eastAsia" w:ascii="仿宋" w:hAnsi="仿宋" w:eastAsia="仿宋" w:cs="仿宋"/>
          <w:color w:val="auto"/>
          <w:sz w:val="24"/>
          <w:u w:val="single"/>
          <w:lang w:val="en-US" w:eastAsia="zh-CN"/>
        </w:rPr>
        <w:t xml:space="preserve"> 符合规定及设计要求，达到合格标准，</w:t>
      </w:r>
      <w:r>
        <w:rPr>
          <w:rFonts w:hint="eastAsia" w:ascii="仿宋" w:hAnsi="仿宋" w:eastAsia="仿宋" w:cs="仿宋"/>
          <w:color w:val="auto"/>
          <w:sz w:val="24"/>
          <w:u w:val="single"/>
        </w:rPr>
        <w:t>达不到中标质量等级按合同价的1%处罚，并进行修复，直至达到中标承诺的质量等级。</w:t>
      </w:r>
    </w:p>
    <w:p w14:paraId="5CD301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关于工程奖项的约定：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6061B0D">
      <w:pPr>
        <w:numPr>
          <w:ilvl w:val="3"/>
          <w:numId w:val="1"/>
        </w:numPr>
        <w:spacing w:before="0" w:after="0" w:line="360" w:lineRule="auto"/>
        <w:outlineLvl w:val="9"/>
        <w:rPr>
          <w:rFonts w:hint="eastAsia" w:ascii="仿宋" w:hAnsi="仿宋" w:eastAsia="仿宋" w:cs="仿宋"/>
          <w:b/>
          <w:bCs/>
          <w:color w:val="auto"/>
          <w:sz w:val="24"/>
          <w:szCs w:val="24"/>
        </w:rPr>
      </w:pPr>
      <w:bookmarkStart w:id="143" w:name="_Toc351203638"/>
      <w:r>
        <w:rPr>
          <w:rFonts w:hint="eastAsia" w:ascii="仿宋" w:hAnsi="仿宋" w:eastAsia="仿宋" w:cs="仿宋"/>
          <w:b/>
          <w:bCs/>
          <w:color w:val="auto"/>
          <w:sz w:val="24"/>
          <w:szCs w:val="24"/>
        </w:rPr>
        <w:t>6. 安全文明施工与环境保护</w:t>
      </w:r>
      <w:bookmarkEnd w:id="143"/>
    </w:p>
    <w:p w14:paraId="5EF0A22D">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6.1安全文明施工</w:t>
      </w:r>
    </w:p>
    <w:p w14:paraId="2294B26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6.1.5 文明施工</w:t>
      </w:r>
    </w:p>
    <w:p w14:paraId="4F35D8F4">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rPr>
        <w:t>合同当事人对文明施工的要求：</w:t>
      </w:r>
      <w:r>
        <w:rPr>
          <w:rFonts w:hint="eastAsia" w:ascii="仿宋" w:hAnsi="仿宋" w:eastAsia="仿宋" w:cs="仿宋"/>
          <w:color w:val="auto"/>
          <w:sz w:val="24"/>
          <w:u w:val="single"/>
          <w:lang w:val="en-US" w:eastAsia="zh-CN"/>
        </w:rPr>
        <w:t>承包人应按以下要求施工</w:t>
      </w:r>
    </w:p>
    <w:p w14:paraId="78FC6FA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a) </w:t>
      </w:r>
      <w:r>
        <w:rPr>
          <w:rFonts w:hint="eastAsia" w:ascii="仿宋" w:hAnsi="仿宋" w:eastAsia="仿宋" w:cs="仿宋"/>
          <w:color w:val="auto"/>
          <w:sz w:val="24"/>
          <w:u w:val="single"/>
          <w:lang w:val="en-US" w:eastAsia="zh-CN"/>
        </w:rPr>
        <w:t>现场应设立门卫，采取有效防盗措施。主要管理人员进场应佩带证明其身份的证卡，其它现场施工人员应有出入现场的明显标识</w:t>
      </w:r>
      <w:r>
        <w:rPr>
          <w:rFonts w:hint="eastAsia" w:ascii="仿宋" w:hAnsi="仿宋" w:eastAsia="仿宋" w:cs="仿宋"/>
          <w:color w:val="auto"/>
          <w:sz w:val="24"/>
          <w:u w:val="none"/>
          <w:lang w:val="en-US" w:eastAsia="zh-CN"/>
        </w:rPr>
        <w:t>。</w:t>
      </w:r>
    </w:p>
    <w:p w14:paraId="1A7C5D2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b）</w:t>
      </w:r>
      <w:r>
        <w:rPr>
          <w:rFonts w:hint="eastAsia" w:ascii="仿宋" w:hAnsi="仿宋" w:eastAsia="仿宋" w:cs="仿宋"/>
          <w:color w:val="auto"/>
          <w:sz w:val="24"/>
          <w:u w:val="single"/>
          <w:lang w:val="en-US" w:eastAsia="zh-CN"/>
        </w:rPr>
        <w:t>建立和执行防火管理制度。在火灾易发地区（如木工房等）施工或存储使用易燃器材时，应采取特殊消防安全措施，现场严禁吸烟</w:t>
      </w:r>
      <w:r>
        <w:rPr>
          <w:rFonts w:hint="eastAsia" w:ascii="仿宋" w:hAnsi="仿宋" w:eastAsia="仿宋" w:cs="仿宋"/>
          <w:color w:val="auto"/>
          <w:sz w:val="24"/>
          <w:u w:val="none"/>
          <w:lang w:val="en-US" w:eastAsia="zh-CN"/>
        </w:rPr>
        <w:t xml:space="preserve">。 </w:t>
      </w:r>
    </w:p>
    <w:p w14:paraId="036F750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c）</w:t>
      </w:r>
      <w:r>
        <w:rPr>
          <w:rFonts w:hint="eastAsia" w:ascii="仿宋" w:hAnsi="仿宋" w:eastAsia="仿宋" w:cs="仿宋"/>
          <w:color w:val="auto"/>
          <w:sz w:val="24"/>
          <w:u w:val="single"/>
          <w:lang w:val="en-US" w:eastAsia="zh-CN"/>
        </w:rPr>
        <w:t>施工现场的通道、紧急疏散处等均应有明显标志或指示牌。有高度限制的地点应有限高标志</w:t>
      </w:r>
      <w:r>
        <w:rPr>
          <w:rFonts w:hint="eastAsia" w:ascii="仿宋" w:hAnsi="仿宋" w:eastAsia="仿宋" w:cs="仿宋"/>
          <w:color w:val="auto"/>
          <w:sz w:val="24"/>
          <w:u w:val="none"/>
          <w:lang w:val="en-US" w:eastAsia="zh-CN"/>
        </w:rPr>
        <w:t>。</w:t>
      </w:r>
    </w:p>
    <w:p w14:paraId="40F898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d）</w:t>
      </w:r>
      <w:r>
        <w:rPr>
          <w:rFonts w:hint="eastAsia" w:ascii="仿宋" w:hAnsi="仿宋" w:eastAsia="仿宋" w:cs="仿宋"/>
          <w:color w:val="auto"/>
          <w:sz w:val="24"/>
          <w:u w:val="single"/>
          <w:lang w:val="en-US" w:eastAsia="zh-CN"/>
        </w:rPr>
        <w:t>现场的食堂卫生安全、饮水设施安全可靠</w:t>
      </w:r>
      <w:r>
        <w:rPr>
          <w:rFonts w:hint="eastAsia" w:ascii="仿宋" w:hAnsi="仿宋" w:eastAsia="仿宋" w:cs="仿宋"/>
          <w:color w:val="auto"/>
          <w:sz w:val="24"/>
          <w:u w:val="none"/>
          <w:lang w:val="en-US" w:eastAsia="zh-CN"/>
        </w:rPr>
        <w:t>。</w:t>
      </w:r>
    </w:p>
    <w:p w14:paraId="0F880D4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e）</w:t>
      </w:r>
      <w:r>
        <w:rPr>
          <w:rFonts w:hint="eastAsia" w:ascii="仿宋" w:hAnsi="仿宋" w:eastAsia="仿宋" w:cs="仿宋"/>
          <w:color w:val="auto"/>
          <w:sz w:val="24"/>
          <w:u w:val="single"/>
          <w:lang w:val="en-US" w:eastAsia="zh-CN"/>
        </w:rPr>
        <w:t>施工现场临时用电安全参照最新标准执行</w:t>
      </w:r>
      <w:r>
        <w:rPr>
          <w:rFonts w:hint="eastAsia" w:ascii="仿宋" w:hAnsi="仿宋" w:eastAsia="仿宋" w:cs="仿宋"/>
          <w:color w:val="auto"/>
          <w:sz w:val="24"/>
          <w:u w:val="none"/>
          <w:lang w:val="en-US" w:eastAsia="zh-CN"/>
        </w:rPr>
        <w:t xml:space="preserve">。 </w:t>
      </w:r>
    </w:p>
    <w:p w14:paraId="778215DB">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f）</w:t>
      </w:r>
      <w:r>
        <w:rPr>
          <w:rFonts w:hint="eastAsia" w:ascii="仿宋" w:hAnsi="仿宋" w:eastAsia="仿宋" w:cs="仿宋"/>
          <w:color w:val="auto"/>
          <w:sz w:val="24"/>
          <w:u w:val="single"/>
          <w:lang w:val="en-US" w:eastAsia="zh-CN"/>
        </w:rPr>
        <w:t>承包人应当加强对施工现场分离设施的管理，并做到统一连续、稳固、整洁、美观、有效。未经许可不得随意拆除、移动，对临时性拆除和移动要及时或限时恢复</w:t>
      </w:r>
      <w:r>
        <w:rPr>
          <w:rFonts w:hint="eastAsia" w:ascii="仿宋" w:hAnsi="仿宋" w:eastAsia="仿宋" w:cs="仿宋"/>
          <w:color w:val="auto"/>
          <w:sz w:val="24"/>
          <w:u w:val="none"/>
          <w:lang w:val="en-US" w:eastAsia="zh-CN"/>
        </w:rPr>
        <w:t>。</w:t>
      </w:r>
    </w:p>
    <w:p w14:paraId="733FD8D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g）</w:t>
      </w:r>
      <w:r>
        <w:rPr>
          <w:rFonts w:hint="eastAsia" w:ascii="仿宋" w:hAnsi="仿宋" w:eastAsia="仿宋" w:cs="仿宋"/>
          <w:color w:val="auto"/>
          <w:sz w:val="24"/>
          <w:u w:val="single"/>
          <w:lang w:val="en-US" w:eastAsia="zh-CN"/>
        </w:rPr>
        <w:t>保持施工现场整洁有序，各种材料分类存放、堆码整齐，分类存放；现场设置密闭式垃圾站，施工垃圾、生活垃圾应分类存放，并及时从现场清运至发包人指定垃圾倾倒地点；妥善存放和处理材料设备和施工机械。工地设保洁工或卫生值班人员，加强路面保洁，现场场地进行“硬化”处理，做到场内道路平整、通畅，排水及排水设施通畅、不积水，泥浆、废水不外流，不尘土飞扬，不排泄有毒有害气体</w:t>
      </w:r>
      <w:r>
        <w:rPr>
          <w:rFonts w:hint="eastAsia" w:ascii="仿宋" w:hAnsi="仿宋" w:eastAsia="仿宋" w:cs="仿宋"/>
          <w:color w:val="auto"/>
          <w:sz w:val="24"/>
          <w:u w:val="none"/>
          <w:lang w:val="en-US" w:eastAsia="zh-CN"/>
        </w:rPr>
        <w:t>。</w:t>
      </w:r>
    </w:p>
    <w:p w14:paraId="733F21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h）</w:t>
      </w:r>
      <w:r>
        <w:rPr>
          <w:rFonts w:hint="eastAsia" w:ascii="仿宋" w:hAnsi="仿宋" w:eastAsia="仿宋" w:cs="仿宋"/>
          <w:color w:val="auto"/>
          <w:sz w:val="24"/>
          <w:u w:val="single"/>
          <w:lang w:val="en-US" w:eastAsia="zh-CN"/>
        </w:rPr>
        <w:t>土方应当随挖随运，一时难以外运的土方，应当按规定地点集中堆放，设置围挡，再采取洒水、覆盖等措施，防止泥浆流淌和尘土飞扬</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A706A8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i）</w:t>
      </w:r>
      <w:r>
        <w:rPr>
          <w:rFonts w:hint="eastAsia" w:ascii="仿宋" w:hAnsi="仿宋" w:eastAsia="仿宋" w:cs="仿宋"/>
          <w:color w:val="auto"/>
          <w:sz w:val="24"/>
          <w:u w:val="single"/>
          <w:lang w:val="en-US" w:eastAsia="zh-CN"/>
        </w:rPr>
        <w:t>工地应严格落实中央、陕西省、咸阳市有关大气污染防治的相关文件，工地配备不得少于 2 名专职扬尘监督员，建立台账，工地在施工前需做到冲洗设备、主要便道的硬化，扬尘监控设施等</w:t>
      </w:r>
      <w:r>
        <w:rPr>
          <w:rFonts w:hint="eastAsia" w:ascii="仿宋" w:hAnsi="仿宋" w:eastAsia="仿宋" w:cs="仿宋"/>
          <w:color w:val="auto"/>
          <w:sz w:val="24"/>
          <w:u w:val="none"/>
          <w:lang w:val="en-US" w:eastAsia="zh-CN"/>
        </w:rPr>
        <w:t xml:space="preserve">。 </w:t>
      </w:r>
    </w:p>
    <w:p w14:paraId="20BF18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j）</w:t>
      </w:r>
      <w:r>
        <w:rPr>
          <w:rFonts w:hint="eastAsia" w:ascii="仿宋" w:hAnsi="仿宋" w:eastAsia="仿宋" w:cs="仿宋"/>
          <w:color w:val="auto"/>
          <w:sz w:val="24"/>
          <w:u w:val="single"/>
          <w:lang w:val="en-US" w:eastAsia="zh-CN"/>
        </w:rPr>
        <w:t>施工中必须严格控制噪声，夜间施工必须经有关部门批准，并向社会进行告示；同时，在规定的作业时间范围内，合理安排作业内容、采用使用低噪声、环保型的施工机械设备，把施工产生的噪声降到最小限度</w:t>
      </w:r>
      <w:r>
        <w:rPr>
          <w:rFonts w:hint="eastAsia" w:ascii="仿宋" w:hAnsi="仿宋" w:eastAsia="仿宋" w:cs="仿宋"/>
          <w:color w:val="auto"/>
          <w:sz w:val="24"/>
          <w:u w:val="none"/>
          <w:lang w:val="en-US" w:eastAsia="zh-CN"/>
        </w:rPr>
        <w:t xml:space="preserve">。 </w:t>
      </w:r>
    </w:p>
    <w:p w14:paraId="507F37D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l）</w:t>
      </w:r>
      <w:r>
        <w:rPr>
          <w:rFonts w:hint="eastAsia" w:ascii="仿宋" w:hAnsi="仿宋" w:eastAsia="仿宋" w:cs="仿宋"/>
          <w:color w:val="auto"/>
          <w:sz w:val="24"/>
          <w:u w:val="single"/>
          <w:lang w:val="en-US" w:eastAsia="zh-CN"/>
        </w:rPr>
        <w:t>施工现场不得焚烧油毡、油漆和其他可产生有毒有害烟尘和恶臭气味的废弃物，并禁止将有毒有害废弃物作为土方回填或排入河道、下水道</w:t>
      </w:r>
      <w:r>
        <w:rPr>
          <w:rFonts w:hint="eastAsia" w:ascii="仿宋" w:hAnsi="仿宋" w:eastAsia="仿宋" w:cs="仿宋"/>
          <w:color w:val="auto"/>
          <w:sz w:val="24"/>
          <w:u w:val="none"/>
          <w:lang w:val="en-US" w:eastAsia="zh-CN"/>
        </w:rPr>
        <w:t xml:space="preserve">。 </w:t>
      </w:r>
    </w:p>
    <w:p w14:paraId="39F8122F">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l）</w:t>
      </w:r>
      <w:r>
        <w:rPr>
          <w:rFonts w:hint="eastAsia" w:ascii="仿宋" w:hAnsi="仿宋" w:eastAsia="仿宋" w:cs="仿宋"/>
          <w:color w:val="auto"/>
          <w:sz w:val="24"/>
          <w:u w:val="single"/>
          <w:lang w:val="en-US" w:eastAsia="zh-CN"/>
        </w:rPr>
        <w:t>承包人在各工种完工及工程结束后，应当做到工完料尽场地清，将多余的建筑材料、预制构件等及时清运，拆除工地围护和其它临时设施，清理施工现场的周边环境</w:t>
      </w:r>
      <w:r>
        <w:rPr>
          <w:rFonts w:hint="eastAsia" w:ascii="仿宋" w:hAnsi="仿宋" w:eastAsia="仿宋" w:cs="仿宋"/>
          <w:color w:val="auto"/>
          <w:sz w:val="24"/>
          <w:u w:val="none"/>
          <w:lang w:val="en-US" w:eastAsia="zh-CN"/>
        </w:rPr>
        <w:t>。</w:t>
      </w:r>
    </w:p>
    <w:p w14:paraId="1B9BDB5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m)</w:t>
      </w:r>
      <w:r>
        <w:rPr>
          <w:rFonts w:hint="eastAsia" w:ascii="仿宋" w:hAnsi="仿宋" w:eastAsia="仿宋" w:cs="仿宋"/>
          <w:color w:val="auto"/>
          <w:sz w:val="24"/>
          <w:u w:val="single"/>
          <w:lang w:val="en-US" w:eastAsia="zh-CN"/>
        </w:rPr>
        <w:t>在开工前承包人未做到现场全封闭、场内道路硬化、主要出入口设置洗车台、扬尘抑制等措施的，发包人不予批准开工建设</w:t>
      </w:r>
      <w:r>
        <w:rPr>
          <w:rFonts w:hint="eastAsia" w:ascii="仿宋" w:hAnsi="仿宋" w:eastAsia="仿宋" w:cs="仿宋"/>
          <w:color w:val="auto"/>
          <w:sz w:val="24"/>
          <w:u w:val="none"/>
          <w:lang w:val="en-US" w:eastAsia="zh-CN"/>
        </w:rPr>
        <w:t xml:space="preserve">。 </w:t>
      </w:r>
    </w:p>
    <w:p w14:paraId="09148EBB">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rPr>
        <w:t>6.1.6 关于安全文明施工费支付比例和支付期限的约定：</w:t>
      </w:r>
      <w:r>
        <w:rPr>
          <w:rFonts w:hint="eastAsia" w:ascii="仿宋" w:hAnsi="仿宋" w:eastAsia="仿宋" w:cs="仿宋"/>
          <w:color w:val="auto"/>
          <w:sz w:val="24"/>
          <w:u w:val="single"/>
        </w:rPr>
        <w:t xml:space="preserve"> 建设单位将建设工程安全文明措施费计入工程造价，并在开工前一次性给付施工单位</w:t>
      </w:r>
      <w:r>
        <w:rPr>
          <w:rFonts w:hint="eastAsia" w:ascii="仿宋" w:hAnsi="仿宋" w:eastAsia="仿宋" w:cs="仿宋"/>
          <w:color w:val="auto"/>
          <w:sz w:val="24"/>
          <w:u w:val="none"/>
        </w:rPr>
        <w:t>。</w:t>
      </w:r>
    </w:p>
    <w:p w14:paraId="09CA9EB2">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u w:val="none"/>
          <w:lang w:val="en-US" w:eastAsia="zh-CN"/>
        </w:rPr>
        <w:t>6.1.7 接上级行政主管部门要求，严格落实建筑工人实名制管理。</w:t>
      </w:r>
    </w:p>
    <w:bookmarkEnd w:id="136"/>
    <w:bookmarkEnd w:id="137"/>
    <w:bookmarkEnd w:id="138"/>
    <w:bookmarkEnd w:id="139"/>
    <w:bookmarkEnd w:id="140"/>
    <w:bookmarkEnd w:id="141"/>
    <w:bookmarkEnd w:id="142"/>
    <w:p w14:paraId="4A4A28AA">
      <w:pPr>
        <w:numPr>
          <w:ilvl w:val="3"/>
          <w:numId w:val="1"/>
        </w:numPr>
        <w:spacing w:before="0" w:after="0" w:line="360" w:lineRule="auto"/>
        <w:outlineLvl w:val="9"/>
        <w:rPr>
          <w:rFonts w:hint="eastAsia" w:ascii="仿宋" w:hAnsi="仿宋" w:eastAsia="仿宋" w:cs="仿宋"/>
          <w:b/>
          <w:bCs/>
          <w:color w:val="auto"/>
          <w:sz w:val="24"/>
          <w:szCs w:val="24"/>
        </w:rPr>
      </w:pPr>
      <w:bookmarkStart w:id="144" w:name="_Toc351203639"/>
      <w:r>
        <w:rPr>
          <w:rFonts w:hint="eastAsia" w:ascii="仿宋" w:hAnsi="仿宋" w:eastAsia="仿宋" w:cs="仿宋"/>
          <w:b/>
          <w:bCs/>
          <w:color w:val="auto"/>
          <w:sz w:val="24"/>
          <w:szCs w:val="24"/>
        </w:rPr>
        <w:t>7. 工期和进度</w:t>
      </w:r>
      <w:bookmarkEnd w:id="144"/>
    </w:p>
    <w:p w14:paraId="1A09EDF0">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7.1 施工组织设计</w:t>
      </w:r>
    </w:p>
    <w:p w14:paraId="001724AE">
      <w:pPr>
        <w:autoSpaceDE w:val="0"/>
        <w:autoSpaceDN w:val="0"/>
        <w:adjustRightInd w:val="0"/>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7.1.1 合</w:t>
      </w:r>
      <w:r>
        <w:rPr>
          <w:rFonts w:hint="eastAsia" w:ascii="仿宋" w:hAnsi="仿宋" w:eastAsia="仿宋" w:cs="仿宋"/>
          <w:color w:val="auto"/>
          <w:kern w:val="0"/>
          <w:sz w:val="24"/>
        </w:rPr>
        <w:t>同当事人约定的施工组织设计应包括的其他内容：</w:t>
      </w:r>
      <w:r>
        <w:rPr>
          <w:rFonts w:hint="eastAsia" w:ascii="仿宋" w:hAnsi="仿宋" w:eastAsia="仿宋" w:cs="仿宋"/>
          <w:color w:val="auto"/>
          <w:kern w:val="0"/>
          <w:sz w:val="24"/>
          <w:u w:val="single"/>
          <w:lang w:val="en-US" w:eastAsia="zh-CN"/>
        </w:rPr>
        <w:t>按招投标文件约定，招投标文件无约定，按通用条款7.1.1执行或双方另行约定</w:t>
      </w:r>
      <w:r>
        <w:rPr>
          <w:rFonts w:hint="eastAsia" w:ascii="仿宋" w:hAnsi="仿宋" w:eastAsia="仿宋" w:cs="仿宋"/>
          <w:color w:val="auto"/>
          <w:kern w:val="0"/>
          <w:sz w:val="24"/>
          <w:u w:val="none"/>
          <w:lang w:val="en-US" w:eastAsia="zh-CN"/>
        </w:rPr>
        <w:t>。</w:t>
      </w:r>
      <w:r>
        <w:rPr>
          <w:rFonts w:hint="eastAsia" w:ascii="仿宋" w:hAnsi="仿宋" w:eastAsia="仿宋" w:cs="仿宋"/>
          <w:color w:val="auto"/>
          <w:kern w:val="0"/>
          <w:sz w:val="24"/>
          <w:lang w:val="en-US" w:eastAsia="zh-CN"/>
        </w:rPr>
        <w:t xml:space="preserve"> </w:t>
      </w:r>
    </w:p>
    <w:p w14:paraId="2011CD6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w:t>
      </w:r>
      <w:bookmarkStart w:id="145" w:name="_Toc297216175"/>
      <w:bookmarkStart w:id="146" w:name="_Toc312677484"/>
      <w:bookmarkStart w:id="147" w:name="_Toc303539125"/>
      <w:bookmarkStart w:id="148" w:name="_Toc312678010"/>
      <w:bookmarkStart w:id="149" w:name="_Toc304295546"/>
      <w:bookmarkStart w:id="150" w:name="_Toc297123516"/>
      <w:bookmarkStart w:id="151" w:name="_Toc300934968"/>
      <w:r>
        <w:rPr>
          <w:rFonts w:hint="eastAsia" w:ascii="仿宋" w:hAnsi="仿宋" w:eastAsia="仿宋" w:cs="仿宋"/>
          <w:b/>
          <w:bCs/>
          <w:color w:val="auto"/>
          <w:sz w:val="24"/>
        </w:rPr>
        <w:t>.5 工期延误</w:t>
      </w:r>
    </w:p>
    <w:bookmarkEnd w:id="145"/>
    <w:bookmarkEnd w:id="146"/>
    <w:bookmarkEnd w:id="147"/>
    <w:bookmarkEnd w:id="148"/>
    <w:bookmarkEnd w:id="149"/>
    <w:bookmarkEnd w:id="150"/>
    <w:bookmarkEnd w:id="151"/>
    <w:p w14:paraId="7811737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7.5.1 因发包人原因导致工期延误</w:t>
      </w:r>
    </w:p>
    <w:p w14:paraId="3D9F21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（7）因发包人原因导致工期延误的其他情形：</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A270B8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w:t>
      </w:r>
      <w:bookmarkStart w:id="152" w:name="_Toc312677486"/>
      <w:bookmarkStart w:id="153" w:name="_Toc312678012"/>
      <w:bookmarkStart w:id="154" w:name="_Toc318581169"/>
      <w:bookmarkStart w:id="155" w:name="_Toc303539127"/>
      <w:bookmarkStart w:id="156" w:name="_Toc297216177"/>
      <w:bookmarkStart w:id="157" w:name="_Toc304295548"/>
      <w:bookmarkStart w:id="158" w:name="_Toc300934970"/>
      <w:bookmarkStart w:id="159" w:name="_Toc297123518"/>
      <w:r>
        <w:rPr>
          <w:rFonts w:hint="eastAsia" w:ascii="仿宋" w:hAnsi="仿宋" w:eastAsia="仿宋" w:cs="仿宋"/>
          <w:color w:val="auto"/>
          <w:sz w:val="24"/>
        </w:rPr>
        <w:t>.5.2 因承包人原因导致工期延误</w:t>
      </w:r>
    </w:p>
    <w:bookmarkEnd w:id="152"/>
    <w:bookmarkEnd w:id="153"/>
    <w:bookmarkEnd w:id="154"/>
    <w:p w14:paraId="41656D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因</w:t>
      </w:r>
      <w:bookmarkStart w:id="160" w:name="_Toc312677487"/>
      <w:bookmarkStart w:id="161" w:name="_Toc312678013"/>
      <w:bookmarkStart w:id="162" w:name="_Toc318581170"/>
      <w:r>
        <w:rPr>
          <w:rFonts w:hint="eastAsia" w:ascii="仿宋" w:hAnsi="仿宋" w:eastAsia="仿宋" w:cs="仿宋"/>
          <w:color w:val="auto"/>
          <w:sz w:val="24"/>
        </w:rPr>
        <w:t>承包人原因造成工期延误，逾期竣工违约金的计算方法为：</w:t>
      </w:r>
      <w:bookmarkEnd w:id="155"/>
      <w:bookmarkEnd w:id="156"/>
      <w:bookmarkEnd w:id="157"/>
      <w:bookmarkEnd w:id="158"/>
      <w:bookmarkEnd w:id="159"/>
      <w:bookmarkEnd w:id="160"/>
      <w:bookmarkEnd w:id="161"/>
      <w:r>
        <w:rPr>
          <w:rFonts w:hint="eastAsia" w:ascii="仿宋" w:hAnsi="仿宋" w:eastAsia="仿宋" w:cs="仿宋"/>
          <w:color w:val="auto"/>
          <w:sz w:val="24"/>
          <w:u w:val="single"/>
        </w:rPr>
        <w:t>按照中标工期及合同有关条款，工期每延误一天，罚款</w:t>
      </w:r>
      <w:r>
        <w:rPr>
          <w:rFonts w:hint="eastAsia" w:ascii="仿宋" w:hAnsi="仿宋" w:eastAsia="仿宋" w:cs="仿宋"/>
          <w:color w:val="auto"/>
          <w:sz w:val="24"/>
          <w:u w:val="single"/>
          <w:lang w:val="en-US" w:eastAsia="zh-CN"/>
        </w:rPr>
        <w:t>1000</w:t>
      </w:r>
      <w:r>
        <w:rPr>
          <w:rFonts w:hint="eastAsia" w:ascii="仿宋" w:hAnsi="仿宋" w:eastAsia="仿宋" w:cs="仿宋"/>
          <w:color w:val="auto"/>
          <w:sz w:val="24"/>
          <w:u w:val="single"/>
        </w:rPr>
        <w:t>元</w:t>
      </w:r>
      <w:r>
        <w:rPr>
          <w:rFonts w:hint="eastAsia" w:ascii="仿宋" w:hAnsi="仿宋" w:eastAsia="仿宋" w:cs="仿宋"/>
          <w:color w:val="auto"/>
          <w:sz w:val="24"/>
          <w:u w:val="none"/>
        </w:rPr>
        <w:t>。</w:t>
      </w:r>
    </w:p>
    <w:bookmarkEnd w:id="162"/>
    <w:p w14:paraId="285107D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因承包人原因造成工期延误，逾</w:t>
      </w:r>
      <w:bookmarkStart w:id="163" w:name="_Toc312678014"/>
      <w:bookmarkStart w:id="164" w:name="_Toc318581171"/>
      <w:r>
        <w:rPr>
          <w:rFonts w:hint="eastAsia" w:ascii="仿宋" w:hAnsi="仿宋" w:eastAsia="仿宋" w:cs="仿宋"/>
          <w:color w:val="auto"/>
          <w:sz w:val="24"/>
        </w:rPr>
        <w:t>期竣工违约金的上限：</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bookmarkEnd w:id="163"/>
    <w:bookmarkEnd w:id="164"/>
    <w:p w14:paraId="4731E53F">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w:t>
      </w:r>
      <w:bookmarkStart w:id="165" w:name="_Toc297216178"/>
      <w:bookmarkStart w:id="166" w:name="_Toc297123519"/>
      <w:bookmarkStart w:id="167" w:name="_Toc300934971"/>
      <w:bookmarkStart w:id="168" w:name="_Toc312678015"/>
      <w:bookmarkStart w:id="169" w:name="_Toc303539128"/>
      <w:bookmarkStart w:id="170" w:name="_Toc304295549"/>
      <w:r>
        <w:rPr>
          <w:rFonts w:hint="eastAsia" w:ascii="仿宋" w:hAnsi="仿宋" w:eastAsia="仿宋" w:cs="仿宋"/>
          <w:b/>
          <w:bCs/>
          <w:color w:val="auto"/>
          <w:sz w:val="24"/>
        </w:rPr>
        <w:t>.6 不</w:t>
      </w:r>
      <w:bookmarkEnd w:id="165"/>
      <w:bookmarkEnd w:id="166"/>
      <w:bookmarkEnd w:id="167"/>
      <w:bookmarkEnd w:id="168"/>
      <w:bookmarkEnd w:id="169"/>
      <w:bookmarkEnd w:id="170"/>
      <w:r>
        <w:rPr>
          <w:rFonts w:hint="eastAsia" w:ascii="仿宋" w:hAnsi="仿宋" w:eastAsia="仿宋" w:cs="仿宋"/>
          <w:b/>
          <w:bCs/>
          <w:color w:val="auto"/>
          <w:sz w:val="24"/>
        </w:rPr>
        <w:t>利物质条件</w:t>
      </w:r>
      <w:bookmarkStart w:id="171" w:name="_Toc304295550"/>
      <w:bookmarkStart w:id="172" w:name="_Toc303539129"/>
      <w:bookmarkStart w:id="173" w:name="_Toc318581172"/>
      <w:bookmarkStart w:id="174" w:name="_Toc312678016"/>
      <w:bookmarkStart w:id="175" w:name="_Toc297123520"/>
      <w:bookmarkStart w:id="176" w:name="_Toc297216179"/>
      <w:bookmarkStart w:id="177" w:name="_Toc300934972"/>
    </w:p>
    <w:p w14:paraId="09301FF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不利物质条件的其他情形和有关约定：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rPr>
        <w:t>。</w:t>
      </w:r>
    </w:p>
    <w:bookmarkEnd w:id="171"/>
    <w:bookmarkEnd w:id="172"/>
    <w:bookmarkEnd w:id="173"/>
    <w:bookmarkEnd w:id="174"/>
    <w:bookmarkEnd w:id="175"/>
    <w:bookmarkEnd w:id="176"/>
    <w:bookmarkEnd w:id="177"/>
    <w:p w14:paraId="15336920">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7</w:t>
      </w:r>
      <w:bookmarkStart w:id="178" w:name="_Toc300934973"/>
      <w:bookmarkStart w:id="179" w:name="_Toc297216180"/>
      <w:bookmarkStart w:id="180" w:name="_Toc304295551"/>
      <w:bookmarkStart w:id="181" w:name="_Toc303539130"/>
      <w:bookmarkStart w:id="182" w:name="_Toc297123521"/>
      <w:bookmarkStart w:id="183" w:name="_Toc312678017"/>
      <w:r>
        <w:rPr>
          <w:rFonts w:hint="eastAsia" w:ascii="仿宋" w:hAnsi="仿宋" w:eastAsia="仿宋" w:cs="仿宋"/>
          <w:b/>
          <w:bCs/>
          <w:color w:val="auto"/>
          <w:sz w:val="24"/>
        </w:rPr>
        <w:t>.7异常恶劣的气候条件</w:t>
      </w:r>
    </w:p>
    <w:bookmarkEnd w:id="178"/>
    <w:bookmarkEnd w:id="179"/>
    <w:bookmarkEnd w:id="180"/>
    <w:bookmarkEnd w:id="181"/>
    <w:bookmarkEnd w:id="182"/>
    <w:bookmarkEnd w:id="183"/>
    <w:p w14:paraId="734C029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发包人和承包人同意以下情形视为异常恶劣的气候条件：</w:t>
      </w:r>
    </w:p>
    <w:p w14:paraId="01964B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19DC8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2E4CEC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1385040">
      <w:pPr>
        <w:spacing w:line="360" w:lineRule="auto"/>
        <w:ind w:firstLine="480" w:firstLineChars="200"/>
        <w:outlineLvl w:val="9"/>
        <w:rPr>
          <w:rFonts w:hint="eastAsia" w:ascii="仿宋" w:hAnsi="仿宋" w:eastAsia="仿宋" w:cs="仿宋"/>
          <w:color w:val="auto"/>
          <w:sz w:val="24"/>
        </w:rPr>
      </w:pPr>
      <w:bookmarkStart w:id="184" w:name="_Toc510449976"/>
      <w:bookmarkStart w:id="185" w:name="_Toc526085901"/>
      <w:bookmarkStart w:id="186" w:name="_Toc508702740"/>
      <w:bookmarkStart w:id="187" w:name="_Toc508703898"/>
      <w:r>
        <w:rPr>
          <w:rFonts w:hint="eastAsia" w:ascii="仿宋" w:hAnsi="仿宋" w:eastAsia="仿宋" w:cs="仿宋"/>
          <w:color w:val="auto"/>
          <w:sz w:val="24"/>
        </w:rPr>
        <w:t>7.9 提前竣工的奖励</w:t>
      </w:r>
      <w:bookmarkEnd w:id="184"/>
      <w:bookmarkEnd w:id="185"/>
      <w:bookmarkEnd w:id="186"/>
      <w:bookmarkEnd w:id="187"/>
    </w:p>
    <w:p w14:paraId="2EF8A60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7.9.2提前竣工的奖励：</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无</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w:t>
      </w:r>
    </w:p>
    <w:p w14:paraId="230E90D2">
      <w:pPr>
        <w:numPr>
          <w:ilvl w:val="3"/>
          <w:numId w:val="1"/>
        </w:numPr>
        <w:spacing w:before="0" w:after="0" w:line="360" w:lineRule="auto"/>
        <w:outlineLvl w:val="9"/>
        <w:rPr>
          <w:rFonts w:hint="eastAsia" w:ascii="仿宋" w:hAnsi="仿宋" w:eastAsia="仿宋" w:cs="仿宋"/>
          <w:b/>
          <w:bCs/>
          <w:color w:val="auto"/>
          <w:sz w:val="24"/>
          <w:szCs w:val="24"/>
        </w:rPr>
      </w:pPr>
      <w:bookmarkStart w:id="188" w:name="_Toc351203640"/>
      <w:r>
        <w:rPr>
          <w:rFonts w:hint="eastAsia" w:ascii="仿宋" w:hAnsi="仿宋" w:eastAsia="仿宋" w:cs="仿宋"/>
          <w:b/>
          <w:bCs/>
          <w:color w:val="auto"/>
          <w:sz w:val="24"/>
          <w:szCs w:val="24"/>
        </w:rPr>
        <w:t>8. 材料与设备</w:t>
      </w:r>
      <w:bookmarkEnd w:id="188"/>
    </w:p>
    <w:bookmarkEnd w:id="122"/>
    <w:bookmarkEnd w:id="123"/>
    <w:bookmarkEnd w:id="124"/>
    <w:bookmarkEnd w:id="125"/>
    <w:bookmarkEnd w:id="126"/>
    <w:bookmarkEnd w:id="127"/>
    <w:bookmarkEnd w:id="128"/>
    <w:bookmarkEnd w:id="129"/>
    <w:bookmarkEnd w:id="130"/>
    <w:bookmarkEnd w:id="131"/>
    <w:p w14:paraId="3F7B2CD5">
      <w:pPr>
        <w:spacing w:line="360" w:lineRule="auto"/>
        <w:ind w:firstLine="480" w:firstLineChars="200"/>
        <w:rPr>
          <w:rFonts w:hint="eastAsia" w:ascii="仿宋" w:hAnsi="仿宋" w:eastAsia="仿宋" w:cs="仿宋"/>
          <w:color w:val="auto"/>
          <w:sz w:val="24"/>
        </w:rPr>
      </w:pPr>
      <w:bookmarkStart w:id="189" w:name="_Toc351203554"/>
      <w:r>
        <w:rPr>
          <w:rFonts w:hint="eastAsia" w:ascii="仿宋" w:hAnsi="仿宋" w:eastAsia="仿宋" w:cs="仿宋"/>
          <w:color w:val="auto"/>
          <w:sz w:val="24"/>
        </w:rPr>
        <w:t>8</w:t>
      </w:r>
      <w:bookmarkStart w:id="190" w:name="_Toc296346561"/>
      <w:bookmarkStart w:id="191" w:name="_Toc296503060"/>
      <w:bookmarkStart w:id="192" w:name="_Toc337558778"/>
      <w:r>
        <w:rPr>
          <w:rFonts w:hint="eastAsia" w:ascii="仿宋" w:hAnsi="仿宋" w:eastAsia="仿宋" w:cs="仿宋"/>
          <w:color w:val="auto"/>
          <w:sz w:val="24"/>
        </w:rPr>
        <w:t>.2承包人采购材料与工程设备</w:t>
      </w:r>
      <w:bookmarkEnd w:id="189"/>
    </w:p>
    <w:bookmarkEnd w:id="190"/>
    <w:bookmarkEnd w:id="191"/>
    <w:bookmarkEnd w:id="192"/>
    <w:p w14:paraId="31833895">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（1）</w:t>
      </w:r>
      <w:r>
        <w:rPr>
          <w:rFonts w:hint="eastAsia" w:ascii="仿宋" w:hAnsi="仿宋" w:eastAsia="仿宋" w:cs="仿宋"/>
          <w:color w:val="auto"/>
          <w:sz w:val="24"/>
          <w:u w:val="single"/>
          <w:lang w:val="en-US" w:eastAsia="zh-CN"/>
        </w:rPr>
        <w:t>本工程招标范围内的材料设备除招标人供应的材料设备外，全部由中标人采供，中标单位应对其质量品牌负完全责任，确保工程质量。无指定价的材料、设备价格由投标人根据市场情况，自主报价</w:t>
      </w:r>
      <w:r>
        <w:rPr>
          <w:rFonts w:hint="eastAsia" w:ascii="仿宋" w:hAnsi="仿宋" w:eastAsia="仿宋" w:cs="仿宋"/>
          <w:color w:val="auto"/>
          <w:sz w:val="24"/>
          <w:u w:val="none"/>
          <w:lang w:val="en-US" w:eastAsia="zh-CN"/>
        </w:rPr>
        <w:t>。</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（2）</w:t>
      </w:r>
      <w:r>
        <w:rPr>
          <w:rFonts w:hint="eastAsia" w:ascii="仿宋" w:hAnsi="仿宋" w:eastAsia="仿宋" w:cs="仿宋"/>
          <w:color w:val="auto"/>
          <w:sz w:val="24"/>
          <w:u w:val="single"/>
          <w:lang w:val="en-US" w:eastAsia="zh-CN"/>
        </w:rPr>
        <w:t>中标人所供材料设备必须符合设计要求和国家有关标准规范，并具备出厂合格证和技术资料，经监理人员对质量认定后方可使用</w:t>
      </w:r>
      <w:r>
        <w:rPr>
          <w:rFonts w:hint="eastAsia" w:ascii="仿宋" w:hAnsi="仿宋" w:eastAsia="仿宋" w:cs="仿宋"/>
          <w:color w:val="auto"/>
          <w:sz w:val="24"/>
          <w:u w:val="none"/>
          <w:lang w:val="en-US" w:eastAsia="zh-CN"/>
        </w:rPr>
        <w:t>。</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（3）</w:t>
      </w:r>
      <w:r>
        <w:rPr>
          <w:rFonts w:hint="eastAsia" w:ascii="仿宋" w:hAnsi="仿宋" w:eastAsia="仿宋" w:cs="仿宋"/>
          <w:color w:val="auto"/>
          <w:sz w:val="24"/>
          <w:u w:val="single"/>
          <w:lang w:val="en-US" w:eastAsia="zh-CN"/>
        </w:rPr>
        <w:t>招标人供应的材料设备</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a.</w:t>
      </w:r>
      <w:r>
        <w:rPr>
          <w:rFonts w:hint="eastAsia" w:ascii="仿宋" w:hAnsi="仿宋" w:eastAsia="仿宋" w:cs="仿宋"/>
          <w:color w:val="auto"/>
          <w:sz w:val="24"/>
          <w:u w:val="single"/>
          <w:lang w:val="en-US" w:eastAsia="zh-CN"/>
        </w:rPr>
        <w:t>招标人供应的材料设备应符合设计要求和国家有关标准规范，并具备出厂合格证和技术资料，由施工单位、监理人员、业主共同验收移交</w:t>
      </w:r>
      <w:r>
        <w:rPr>
          <w:rFonts w:hint="eastAsia" w:ascii="仿宋" w:hAnsi="仿宋" w:eastAsia="仿宋" w:cs="仿宋"/>
          <w:color w:val="auto"/>
          <w:sz w:val="24"/>
          <w:u w:val="none"/>
          <w:lang w:val="en-US" w:eastAsia="zh-CN"/>
        </w:rPr>
        <w:t>。</w:t>
      </w:r>
      <w:r>
        <w:rPr>
          <w:rFonts w:hint="eastAsia" w:ascii="仿宋" w:hAnsi="仿宋" w:eastAsia="仿宋" w:cs="仿宋"/>
          <w:color w:val="auto"/>
          <w:sz w:val="24"/>
          <w:u w:val="single"/>
          <w:lang w:val="en-US" w:eastAsia="zh-CN"/>
        </w:rPr>
        <w:br w:type="textWrapping"/>
      </w:r>
      <w:r>
        <w:rPr>
          <w:rFonts w:hint="eastAsia" w:ascii="仿宋" w:hAnsi="仿宋" w:eastAsia="仿宋" w:cs="仿宋"/>
          <w:color w:val="auto"/>
          <w:sz w:val="24"/>
          <w:u w:val="none"/>
          <w:lang w:val="en-US" w:eastAsia="zh-CN"/>
        </w:rPr>
        <w:t xml:space="preserve">    b.</w:t>
      </w:r>
      <w:r>
        <w:rPr>
          <w:rFonts w:hint="eastAsia" w:ascii="仿宋" w:hAnsi="仿宋" w:eastAsia="仿宋" w:cs="仿宋"/>
          <w:color w:val="auto"/>
          <w:sz w:val="24"/>
          <w:u w:val="single"/>
          <w:lang w:val="en-US" w:eastAsia="zh-CN"/>
        </w:rPr>
        <w:t>招标人供应的安装材料、设备由投标人进行安装，投标人在报价时不计算料、设备费用</w:t>
      </w:r>
      <w:r>
        <w:rPr>
          <w:rFonts w:hint="eastAsia" w:ascii="仿宋" w:hAnsi="仿宋" w:eastAsia="仿宋" w:cs="仿宋"/>
          <w:color w:val="auto"/>
          <w:sz w:val="24"/>
          <w:u w:val="none"/>
          <w:lang w:val="en-US" w:eastAsia="zh-CN"/>
        </w:rPr>
        <w:t>。</w:t>
      </w:r>
    </w:p>
    <w:p w14:paraId="285297D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w:t>
      </w:r>
      <w:bookmarkStart w:id="193" w:name="_Toc292559877"/>
      <w:bookmarkStart w:id="194" w:name="_Toc297120467"/>
      <w:bookmarkStart w:id="195" w:name="_Toc296503167"/>
      <w:bookmarkStart w:id="196" w:name="_Toc300934979"/>
      <w:bookmarkStart w:id="197" w:name="_Toc297123527"/>
      <w:bookmarkStart w:id="198" w:name="_Toc292559372"/>
      <w:bookmarkStart w:id="199" w:name="_Toc296346668"/>
      <w:bookmarkStart w:id="200" w:name="_Toc312678019"/>
      <w:bookmarkStart w:id="201" w:name="_Toc297048353"/>
      <w:bookmarkStart w:id="202" w:name="_Toc304295556"/>
      <w:bookmarkStart w:id="203" w:name="_Toc280868654"/>
      <w:bookmarkStart w:id="204" w:name="_Toc297216186"/>
      <w:bookmarkStart w:id="205" w:name="_Toc312677493"/>
      <w:bookmarkStart w:id="206" w:name="_Toc303539136"/>
      <w:bookmarkStart w:id="207" w:name="_Toc296891207"/>
      <w:bookmarkStart w:id="208" w:name="_Toc296347166"/>
      <w:bookmarkStart w:id="209" w:name="_Toc296890995"/>
      <w:bookmarkStart w:id="210" w:name="_Toc296944506"/>
      <w:bookmarkStart w:id="211" w:name="_Toc267251424"/>
      <w:bookmarkStart w:id="212" w:name="_Toc280868655"/>
      <w:bookmarkStart w:id="213" w:name="_Toc280868656"/>
      <w:r>
        <w:rPr>
          <w:rFonts w:hint="eastAsia" w:ascii="仿宋" w:hAnsi="仿宋" w:eastAsia="仿宋" w:cs="仿宋"/>
          <w:color w:val="auto"/>
          <w:sz w:val="24"/>
        </w:rPr>
        <w:t>.4材料与工程设备的保管与使用</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7F91E3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w:t>
      </w:r>
      <w:bookmarkStart w:id="214" w:name="_Toc292559878"/>
      <w:bookmarkStart w:id="215" w:name="_Toc292559373"/>
      <w:bookmarkStart w:id="216" w:name="_Toc296944507"/>
      <w:bookmarkStart w:id="217" w:name="_Toc296891208"/>
      <w:bookmarkStart w:id="218" w:name="_Toc303539137"/>
      <w:bookmarkStart w:id="219" w:name="_Toc297123528"/>
      <w:bookmarkStart w:id="220" w:name="_Toc296503168"/>
      <w:bookmarkStart w:id="221" w:name="_Toc296890996"/>
      <w:bookmarkStart w:id="222" w:name="_Toc297216187"/>
      <w:bookmarkStart w:id="223" w:name="_Toc304295557"/>
      <w:bookmarkStart w:id="224" w:name="_Toc300934980"/>
      <w:bookmarkStart w:id="225" w:name="_Toc297048354"/>
      <w:bookmarkStart w:id="226" w:name="_Toc318581173"/>
      <w:bookmarkStart w:id="227" w:name="_Toc296346669"/>
      <w:bookmarkStart w:id="228" w:name="_Toc296347167"/>
      <w:bookmarkStart w:id="229" w:name="_Toc312678020"/>
      <w:bookmarkStart w:id="230" w:name="_Toc312677494"/>
      <w:bookmarkStart w:id="231" w:name="_Toc297120468"/>
      <w:r>
        <w:rPr>
          <w:rFonts w:hint="eastAsia" w:ascii="仿宋" w:hAnsi="仿宋" w:eastAsia="仿宋" w:cs="仿宋"/>
          <w:color w:val="auto"/>
          <w:sz w:val="24"/>
        </w:rPr>
        <w:t>.4.1发包人供应的材料设备的保管费用的承担：</w:t>
      </w:r>
      <w:r>
        <w:rPr>
          <w:rFonts w:hint="eastAsia" w:ascii="仿宋" w:hAnsi="仿宋" w:eastAsia="仿宋" w:cs="仿宋"/>
          <w:color w:val="auto"/>
          <w:sz w:val="24"/>
          <w:u w:val="single"/>
          <w:lang w:val="en-US" w:eastAsia="zh-CN"/>
        </w:rPr>
        <w:t>由承包人承担</w:t>
      </w:r>
      <w:r>
        <w:rPr>
          <w:rFonts w:hint="eastAsia" w:ascii="仿宋" w:hAnsi="仿宋" w:eastAsia="仿宋" w:cs="仿宋"/>
          <w:color w:val="auto"/>
          <w:sz w:val="24"/>
        </w:rPr>
        <w:t>。</w:t>
      </w:r>
      <w:bookmarkEnd w:id="214"/>
      <w:bookmarkEnd w:id="215"/>
    </w:p>
    <w:p w14:paraId="28948ABA">
      <w:pPr>
        <w:spacing w:line="360" w:lineRule="auto"/>
        <w:ind w:firstLine="480" w:firstLineChars="200"/>
        <w:outlineLvl w:val="9"/>
        <w:rPr>
          <w:rFonts w:hint="eastAsia" w:ascii="仿宋" w:hAnsi="仿宋" w:eastAsia="仿宋" w:cs="仿宋"/>
          <w:color w:val="auto"/>
          <w:sz w:val="24"/>
        </w:rPr>
      </w:pPr>
      <w:bookmarkStart w:id="232" w:name="_Toc526085902"/>
      <w:bookmarkStart w:id="233" w:name="_Toc508703899"/>
      <w:bookmarkStart w:id="234" w:name="_Toc508702741"/>
      <w:bookmarkStart w:id="235" w:name="_Toc510449977"/>
      <w:r>
        <w:rPr>
          <w:rFonts w:hint="eastAsia" w:ascii="仿宋" w:hAnsi="仿宋" w:eastAsia="仿宋" w:cs="仿宋"/>
          <w:color w:val="auto"/>
          <w:sz w:val="24"/>
        </w:rPr>
        <w:t>8.8 施工设备和临时设施</w:t>
      </w:r>
      <w:bookmarkEnd w:id="232"/>
      <w:bookmarkEnd w:id="233"/>
      <w:bookmarkEnd w:id="234"/>
      <w:bookmarkEnd w:id="235"/>
    </w:p>
    <w:p w14:paraId="7BFE7623">
      <w:pPr>
        <w:autoSpaceDE w:val="0"/>
        <w:autoSpaceDN w:val="0"/>
        <w:adjustRightIn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8.8.1 承包人提供的施工设备和临时设施</w:t>
      </w:r>
    </w:p>
    <w:p w14:paraId="61F0E19B">
      <w:pPr>
        <w:autoSpaceDE w:val="0"/>
        <w:autoSpaceDN w:val="0"/>
        <w:adjustRightIn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关于修建临时设施费用承担的约定：</w:t>
      </w:r>
      <w:r>
        <w:rPr>
          <w:rFonts w:hint="eastAsia" w:ascii="仿宋" w:hAnsi="仿宋" w:eastAsia="仿宋" w:cs="仿宋"/>
          <w:color w:val="auto"/>
          <w:sz w:val="24"/>
          <w:u w:val="single"/>
          <w:lang w:val="en-US" w:eastAsia="zh-CN"/>
        </w:rPr>
        <w:t>由承包人承担</w:t>
      </w:r>
      <w:r>
        <w:rPr>
          <w:rFonts w:hint="eastAsia" w:ascii="仿宋" w:hAnsi="仿宋" w:eastAsia="仿宋" w:cs="仿宋"/>
          <w:color w:val="auto"/>
          <w:sz w:val="24"/>
        </w:rPr>
        <w:t>。</w:t>
      </w:r>
    </w:p>
    <w:bookmarkEnd w:id="211"/>
    <w:bookmarkEnd w:id="212"/>
    <w:bookmarkEnd w:id="213"/>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14:paraId="572F6480">
      <w:pPr>
        <w:numPr>
          <w:ilvl w:val="3"/>
          <w:numId w:val="1"/>
        </w:numPr>
        <w:spacing w:before="0" w:after="0" w:line="360" w:lineRule="auto"/>
        <w:outlineLvl w:val="9"/>
        <w:rPr>
          <w:rFonts w:hint="eastAsia" w:ascii="仿宋" w:hAnsi="仿宋" w:eastAsia="仿宋" w:cs="仿宋"/>
          <w:b/>
          <w:bCs/>
          <w:color w:val="auto"/>
          <w:sz w:val="24"/>
          <w:szCs w:val="24"/>
        </w:rPr>
      </w:pPr>
      <w:bookmarkStart w:id="236" w:name="_Toc297120473"/>
      <w:bookmarkStart w:id="237" w:name="_Toc296891001"/>
      <w:bookmarkStart w:id="238" w:name="_Toc267251428"/>
      <w:bookmarkStart w:id="239" w:name="_Toc296503173"/>
      <w:bookmarkStart w:id="240" w:name="_Toc292559378"/>
      <w:bookmarkStart w:id="241" w:name="_Toc292559883"/>
      <w:bookmarkStart w:id="242" w:name="_Toc296347172"/>
      <w:bookmarkStart w:id="243" w:name="_Toc267251427"/>
      <w:bookmarkStart w:id="244" w:name="_Toc296891213"/>
      <w:bookmarkStart w:id="245" w:name="_Toc296346674"/>
      <w:bookmarkStart w:id="246" w:name="_Toc297048359"/>
      <w:bookmarkStart w:id="247" w:name="_Toc296944512"/>
      <w:bookmarkStart w:id="248" w:name="_Toc351203642"/>
      <w:r>
        <w:rPr>
          <w:rFonts w:hint="eastAsia" w:ascii="仿宋" w:hAnsi="仿宋" w:eastAsia="仿宋" w:cs="仿宋"/>
          <w:b/>
          <w:bCs/>
          <w:color w:val="auto"/>
          <w:sz w:val="24"/>
          <w:szCs w:val="24"/>
        </w:rPr>
        <w:t>1</w:t>
      </w:r>
      <w:bookmarkEnd w:id="236"/>
      <w:bookmarkEnd w:id="237"/>
      <w:bookmarkEnd w:id="238"/>
      <w:bookmarkEnd w:id="239"/>
      <w:bookmarkEnd w:id="240"/>
      <w:bookmarkEnd w:id="241"/>
      <w:bookmarkEnd w:id="242"/>
      <w:bookmarkEnd w:id="243"/>
      <w:bookmarkEnd w:id="244"/>
      <w:bookmarkEnd w:id="245"/>
      <w:bookmarkEnd w:id="246"/>
      <w:bookmarkEnd w:id="247"/>
      <w:bookmarkStart w:id="249" w:name="_Toc297123540"/>
      <w:bookmarkStart w:id="250" w:name="_Toc296503193"/>
      <w:bookmarkStart w:id="251" w:name="_Toc300934989"/>
      <w:bookmarkStart w:id="252" w:name="_Toc297216199"/>
      <w:bookmarkStart w:id="253" w:name="_Toc296346694"/>
      <w:bookmarkStart w:id="254" w:name="_Toc297048379"/>
      <w:bookmarkStart w:id="255" w:name="_Toc303539146"/>
      <w:bookmarkStart w:id="256" w:name="_Toc304295566"/>
      <w:bookmarkStart w:id="257" w:name="_Toc292559398"/>
      <w:bookmarkStart w:id="258" w:name="_Toc297120493"/>
      <w:bookmarkStart w:id="259" w:name="_Toc296891021"/>
      <w:bookmarkStart w:id="260" w:name="_Toc292559903"/>
      <w:bookmarkStart w:id="261" w:name="_Toc296891233"/>
      <w:bookmarkStart w:id="262" w:name="_Toc296944532"/>
      <w:bookmarkStart w:id="263" w:name="_Toc296347192"/>
      <w:bookmarkStart w:id="264" w:name="_Toc312677499"/>
      <w:bookmarkStart w:id="265" w:name="_Toc312678025"/>
      <w:bookmarkStart w:id="266" w:name="_Toc267251435"/>
      <w:bookmarkStart w:id="267" w:name="_Toc267251441"/>
      <w:bookmarkStart w:id="268" w:name="_Toc267251440"/>
      <w:bookmarkStart w:id="269" w:name="_Toc267251437"/>
      <w:bookmarkStart w:id="270" w:name="_Toc267251433"/>
      <w:bookmarkStart w:id="271" w:name="_Toc267251439"/>
      <w:bookmarkStart w:id="272" w:name="_Toc267251442"/>
      <w:r>
        <w:rPr>
          <w:rFonts w:hint="eastAsia" w:ascii="仿宋" w:hAnsi="仿宋" w:eastAsia="仿宋" w:cs="仿宋"/>
          <w:b/>
          <w:bCs/>
          <w:color w:val="auto"/>
          <w:sz w:val="24"/>
          <w:szCs w:val="24"/>
        </w:rPr>
        <w:t>0. 变更</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bookmarkEnd w:id="264"/>
    <w:bookmarkEnd w:id="265"/>
    <w:p w14:paraId="71DD5E7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w:t>
      </w:r>
      <w:bookmarkStart w:id="273" w:name="_Toc296346695"/>
      <w:bookmarkStart w:id="274" w:name="_Toc297120494"/>
      <w:bookmarkStart w:id="275" w:name="_Toc296891022"/>
      <w:bookmarkStart w:id="276" w:name="_Toc300934990"/>
      <w:bookmarkStart w:id="277" w:name="_Toc296944533"/>
      <w:bookmarkStart w:id="278" w:name="_Toc297123541"/>
      <w:bookmarkStart w:id="279" w:name="_Toc297048380"/>
      <w:bookmarkStart w:id="280" w:name="_Toc292559399"/>
      <w:bookmarkStart w:id="281" w:name="_Toc296347193"/>
      <w:bookmarkStart w:id="282" w:name="_Toc296503194"/>
      <w:bookmarkStart w:id="283" w:name="_Toc304295567"/>
      <w:bookmarkStart w:id="284" w:name="_Toc296891234"/>
      <w:bookmarkStart w:id="285" w:name="_Toc312678026"/>
      <w:bookmarkStart w:id="286" w:name="_Toc312677500"/>
      <w:bookmarkStart w:id="287" w:name="_Toc297216200"/>
      <w:bookmarkStart w:id="288" w:name="_Toc303539147"/>
      <w:bookmarkStart w:id="289" w:name="_Toc292559904"/>
      <w:r>
        <w:rPr>
          <w:rFonts w:hint="eastAsia" w:ascii="仿宋" w:hAnsi="仿宋" w:eastAsia="仿宋" w:cs="仿宋"/>
          <w:b/>
          <w:bCs/>
          <w:color w:val="auto"/>
          <w:sz w:val="24"/>
        </w:rPr>
        <w:t>0.1变更的范围</w:t>
      </w:r>
    </w:p>
    <w:p w14:paraId="0CE163D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关于变更的范围的约定：</w:t>
      </w:r>
      <w:r>
        <w:rPr>
          <w:rFonts w:hint="eastAsia" w:ascii="仿宋" w:hAnsi="仿宋" w:eastAsia="仿宋" w:cs="仿宋"/>
          <w:color w:val="auto"/>
          <w:sz w:val="24"/>
          <w:u w:val="single"/>
          <w:lang w:val="en-US" w:eastAsia="zh-CN"/>
        </w:rPr>
        <w:t>在本工程施工过程中，若发生设计变更，以甲方工地工程师与监理工程师签证为依据，以中标人在投标时该子目综合单价计取工程费；清单或合同中已有适用于新工程量清单项目的价格，按已有价格变更合同价款；清单或合同中只有类似于新工程量清单项目的价格，可以参照类似价格变更合同价款；清单或合同中没有类似于新工程量清单项目的价格，执行（2009）《陕</w:t>
      </w:r>
      <w:r>
        <w:rPr>
          <w:rFonts w:hint="eastAsia" w:ascii="仿宋" w:hAnsi="仿宋" w:eastAsia="仿宋" w:cs="仿宋"/>
          <w:color w:val="auto"/>
          <w:sz w:val="24"/>
          <w:u w:val="single"/>
        </w:rPr>
        <w:t>西省建筑工程量清单计价规则》，（2004）《陕西省建筑、装饰、安装工程消耗量定额2009价目表》（电子版）及其配套的《参考费率》，由承包人提出综合单价，</w:t>
      </w:r>
      <w:r>
        <w:rPr>
          <w:rFonts w:hint="eastAsia" w:ascii="仿宋" w:hAnsi="仿宋" w:eastAsia="仿宋" w:cs="仿宋"/>
          <w:color w:val="auto"/>
          <w:sz w:val="24"/>
          <w:u w:val="single"/>
        </w:rPr>
        <w:t>发包人确认</w:t>
      </w:r>
      <w:r>
        <w:rPr>
          <w:rFonts w:hint="eastAsia" w:ascii="仿宋" w:hAnsi="仿宋" w:eastAsia="仿宋" w:cs="仿宋"/>
          <w:color w:val="auto"/>
          <w:sz w:val="24"/>
          <w:u w:val="none"/>
        </w:rPr>
        <w:t>。</w:t>
      </w:r>
    </w:p>
    <w:p w14:paraId="3561B8ED">
      <w:pPr>
        <w:spacing w:line="360" w:lineRule="auto"/>
        <w:ind w:firstLine="482" w:firstLineChars="200"/>
        <w:outlineLvl w:val="9"/>
        <w:rPr>
          <w:rFonts w:hint="eastAsia" w:ascii="仿宋" w:hAnsi="仿宋" w:eastAsia="仿宋" w:cs="仿宋"/>
          <w:b/>
          <w:bCs/>
          <w:color w:val="auto"/>
          <w:sz w:val="24"/>
        </w:rPr>
      </w:pPr>
      <w:bookmarkStart w:id="290" w:name="_Toc508702742"/>
      <w:bookmarkStart w:id="291" w:name="_Toc526085903"/>
      <w:bookmarkStart w:id="292" w:name="_Toc510449978"/>
      <w:bookmarkStart w:id="293" w:name="_Toc508703900"/>
      <w:r>
        <w:rPr>
          <w:rFonts w:hint="eastAsia" w:ascii="仿宋" w:hAnsi="仿宋" w:eastAsia="仿宋" w:cs="仿宋"/>
          <w:b/>
          <w:bCs/>
          <w:color w:val="auto"/>
          <w:sz w:val="24"/>
        </w:rPr>
        <w:t>10.4 变更估价</w:t>
      </w:r>
      <w:bookmarkEnd w:id="290"/>
      <w:bookmarkEnd w:id="291"/>
      <w:bookmarkEnd w:id="292"/>
      <w:bookmarkEnd w:id="293"/>
    </w:p>
    <w:p w14:paraId="168B006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10.4.1 变更估价原则</w:t>
      </w:r>
    </w:p>
    <w:p w14:paraId="75B1E859">
      <w:pPr>
        <w:spacing w:line="360" w:lineRule="auto"/>
        <w:ind w:firstLine="480" w:firstLineChars="200"/>
        <w:rPr>
          <w:rFonts w:hint="eastAsia" w:ascii="仿宋" w:hAnsi="仿宋" w:eastAsia="仿宋" w:cs="仿宋"/>
          <w:color w:val="auto"/>
          <w:sz w:val="24"/>
          <w:lang w:val="en-US"/>
        </w:rPr>
      </w:pPr>
      <w:r>
        <w:rPr>
          <w:rFonts w:hint="eastAsia" w:ascii="仿宋" w:hAnsi="仿宋" w:eastAsia="仿宋" w:cs="仿宋"/>
          <w:color w:val="auto"/>
          <w:sz w:val="24"/>
          <w:lang w:val="en-US" w:eastAsia="zh-CN"/>
        </w:rPr>
        <w:t xml:space="preserve">关于变更估价的约定: </w:t>
      </w:r>
      <w:r>
        <w:rPr>
          <w:rFonts w:hint="eastAsia" w:ascii="仿宋" w:hAnsi="仿宋" w:eastAsia="仿宋" w:cs="仿宋"/>
          <w:color w:val="auto"/>
          <w:sz w:val="24"/>
          <w:u w:val="single"/>
          <w:lang w:val="en-US" w:eastAsia="zh-CN"/>
        </w:rPr>
        <w:t>合同中已有适用于变更的项目综合单价，按合同中已有的综合单价确定；合同中有类似的综合单价，参照类似的综合单价；合同中没有适用或类似的综合单价的，清单或合同中没有类似于新工程量清单项目的价格，执行（2009）《陕西省建筑工程量清单计价规则》，（2004）《陕西省建筑、装饰、安装工程消耗量定额2009价目表》（电子版）及其配套的《参考费率》，由承包人提出综合单价，发包人确认</w:t>
      </w:r>
      <w:r>
        <w:rPr>
          <w:rFonts w:hint="eastAsia" w:ascii="仿宋" w:hAnsi="仿宋" w:eastAsia="仿宋" w:cs="仿宋"/>
          <w:color w:val="auto"/>
          <w:sz w:val="24"/>
          <w:u w:val="none"/>
          <w:lang w:val="en-US" w:eastAsia="zh-CN"/>
        </w:rPr>
        <w:t>。</w:t>
      </w:r>
    </w:p>
    <w:p w14:paraId="5431433B">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Start w:id="294" w:name="_Toc296891237"/>
      <w:bookmarkStart w:id="295" w:name="_Toc296944536"/>
      <w:bookmarkStart w:id="296" w:name="_Toc296346698"/>
      <w:bookmarkStart w:id="297" w:name="_Toc297048383"/>
      <w:bookmarkStart w:id="298" w:name="_Toc296891025"/>
      <w:bookmarkStart w:id="299" w:name="_Toc292559907"/>
      <w:bookmarkStart w:id="300" w:name="_Toc292559402"/>
      <w:bookmarkStart w:id="301" w:name="_Toc300934993"/>
      <w:bookmarkStart w:id="302" w:name="_Toc296503197"/>
      <w:bookmarkStart w:id="303" w:name="_Toc296347196"/>
      <w:bookmarkStart w:id="304" w:name="_Toc297120497"/>
      <w:bookmarkStart w:id="305" w:name="_Toc303539150"/>
      <w:bookmarkStart w:id="306" w:name="_Toc297123544"/>
      <w:bookmarkStart w:id="307" w:name="_Toc297216203"/>
      <w:bookmarkStart w:id="308" w:name="_Toc312678029"/>
      <w:bookmarkStart w:id="309" w:name="_Toc312677503"/>
      <w:bookmarkStart w:id="310" w:name="_Toc304295570"/>
      <w:r>
        <w:rPr>
          <w:rFonts w:hint="eastAsia" w:ascii="仿宋" w:hAnsi="仿宋" w:eastAsia="仿宋" w:cs="仿宋"/>
          <w:b/>
          <w:bCs/>
          <w:color w:val="auto"/>
          <w:sz w:val="24"/>
        </w:rPr>
        <w:t>0.5承</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Start w:id="311" w:name="_Toc303539151"/>
      <w:bookmarkStart w:id="312" w:name="_Toc297048389"/>
      <w:bookmarkStart w:id="313" w:name="_Toc296503203"/>
      <w:bookmarkStart w:id="314" w:name="_Toc296891243"/>
      <w:bookmarkStart w:id="315" w:name="_Toc296944542"/>
      <w:bookmarkStart w:id="316" w:name="_Toc297216204"/>
      <w:bookmarkStart w:id="317" w:name="_Toc296347202"/>
      <w:bookmarkStart w:id="318" w:name="_Toc297123545"/>
      <w:bookmarkStart w:id="319" w:name="_Toc292559913"/>
      <w:bookmarkStart w:id="320" w:name="_Toc292559408"/>
      <w:bookmarkStart w:id="321" w:name="_Toc296346704"/>
      <w:bookmarkStart w:id="322" w:name="_Toc300934994"/>
      <w:bookmarkStart w:id="323" w:name="_Toc296891031"/>
      <w:bookmarkStart w:id="324" w:name="_Toc297120503"/>
      <w:r>
        <w:rPr>
          <w:rFonts w:hint="eastAsia" w:ascii="仿宋" w:hAnsi="仿宋" w:eastAsia="仿宋" w:cs="仿宋"/>
          <w:b/>
          <w:bCs/>
          <w:color w:val="auto"/>
          <w:sz w:val="24"/>
        </w:rPr>
        <w:t>包人的合理化建议</w:t>
      </w: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14:paraId="1D5DCD1E">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承</w:t>
      </w:r>
      <w:bookmarkStart w:id="325" w:name="_Toc296347203"/>
      <w:bookmarkStart w:id="326" w:name="_Toc312677504"/>
      <w:bookmarkStart w:id="327" w:name="_Toc292559914"/>
      <w:bookmarkStart w:id="328" w:name="_Toc297216205"/>
      <w:bookmarkStart w:id="329" w:name="_Toc296503204"/>
      <w:bookmarkStart w:id="330" w:name="_Toc303539152"/>
      <w:bookmarkStart w:id="331" w:name="_Toc296346705"/>
      <w:bookmarkStart w:id="332" w:name="_Toc296944543"/>
      <w:bookmarkStart w:id="333" w:name="_Toc296891244"/>
      <w:bookmarkStart w:id="334" w:name="_Toc297123546"/>
      <w:bookmarkStart w:id="335" w:name="_Toc300934995"/>
      <w:bookmarkStart w:id="336" w:name="_Toc318581175"/>
      <w:bookmarkStart w:id="337" w:name="_Toc297048390"/>
      <w:bookmarkStart w:id="338" w:name="_Toc297120504"/>
      <w:bookmarkStart w:id="339" w:name="_Toc312678030"/>
      <w:bookmarkStart w:id="340" w:name="_Toc304295571"/>
      <w:bookmarkStart w:id="341" w:name="_Toc296891032"/>
      <w:bookmarkStart w:id="342" w:name="_Toc292559409"/>
      <w:r>
        <w:rPr>
          <w:rFonts w:hint="eastAsia" w:ascii="仿宋" w:hAnsi="仿宋" w:eastAsia="仿宋" w:cs="仿宋"/>
          <w:color w:val="auto"/>
          <w:sz w:val="24"/>
        </w:rPr>
        <w:t>包人提出的合理化建议降低了合同价格或者提高了工程经济效益的奖励的方法和金额为：</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无</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14:paraId="1C412EE2">
      <w:pPr>
        <w:spacing w:line="360" w:lineRule="auto"/>
        <w:ind w:firstLine="482" w:firstLineChars="200"/>
        <w:outlineLvl w:val="9"/>
        <w:rPr>
          <w:rFonts w:hint="eastAsia" w:ascii="仿宋" w:hAnsi="仿宋" w:eastAsia="仿宋" w:cs="仿宋"/>
          <w:b/>
          <w:bCs/>
          <w:color w:val="auto"/>
          <w:sz w:val="24"/>
        </w:rPr>
      </w:pPr>
      <w:bookmarkStart w:id="343" w:name="_Toc510449979"/>
      <w:bookmarkStart w:id="344" w:name="_Toc508703901"/>
      <w:bookmarkStart w:id="345" w:name="_Toc526085904"/>
      <w:bookmarkStart w:id="346" w:name="_Toc508702743"/>
      <w:r>
        <w:rPr>
          <w:rFonts w:hint="eastAsia" w:ascii="仿宋" w:hAnsi="仿宋" w:eastAsia="仿宋" w:cs="仿宋"/>
          <w:b/>
          <w:bCs/>
          <w:color w:val="auto"/>
          <w:sz w:val="24"/>
        </w:rPr>
        <w:t>1</w:t>
      </w:r>
      <w:bookmarkStart w:id="347" w:name="_Toc296891239"/>
      <w:bookmarkStart w:id="348" w:name="_Toc296347198"/>
      <w:bookmarkStart w:id="349" w:name="_Toc303539154"/>
      <w:bookmarkStart w:id="350" w:name="_Toc312677507"/>
      <w:bookmarkStart w:id="351" w:name="_Toc292559909"/>
      <w:bookmarkStart w:id="352" w:name="_Toc297120499"/>
      <w:bookmarkStart w:id="353" w:name="_Toc312678033"/>
      <w:bookmarkStart w:id="354" w:name="_Toc297216207"/>
      <w:bookmarkStart w:id="355" w:name="_Toc297123548"/>
      <w:bookmarkStart w:id="356" w:name="_Toc296891027"/>
      <w:bookmarkStart w:id="357" w:name="_Toc296503199"/>
      <w:bookmarkStart w:id="358" w:name="_Toc297048385"/>
      <w:bookmarkStart w:id="359" w:name="_Toc296346700"/>
      <w:bookmarkStart w:id="360" w:name="_Toc292559404"/>
      <w:bookmarkStart w:id="361" w:name="_Toc304295574"/>
      <w:bookmarkStart w:id="362" w:name="_Toc300934997"/>
      <w:bookmarkStart w:id="363" w:name="_Toc296944538"/>
      <w:r>
        <w:rPr>
          <w:rFonts w:hint="eastAsia" w:ascii="仿宋" w:hAnsi="仿宋" w:eastAsia="仿宋" w:cs="仿宋"/>
          <w:b/>
          <w:bCs/>
          <w:color w:val="auto"/>
          <w:sz w:val="24"/>
        </w:rPr>
        <w:t>0.7 暂估价</w:t>
      </w:r>
      <w:bookmarkEnd w:id="343"/>
      <w:bookmarkEnd w:id="344"/>
      <w:bookmarkEnd w:id="345"/>
      <w:bookmarkEnd w:id="346"/>
    </w:p>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5F041957">
      <w:pPr>
        <w:spacing w:line="360" w:lineRule="auto"/>
        <w:ind w:firstLine="480" w:firstLineChars="200"/>
        <w:rPr>
          <w:rFonts w:hint="eastAsia" w:ascii="仿宋" w:hAnsi="仿宋" w:eastAsia="仿宋" w:cs="仿宋"/>
          <w:color w:val="auto"/>
          <w:sz w:val="24"/>
          <w:u w:val="single"/>
        </w:rPr>
      </w:pPr>
      <w:bookmarkStart w:id="364" w:name="_Toc318581176"/>
      <w:bookmarkStart w:id="365" w:name="_Toc312678034"/>
      <w:bookmarkStart w:id="366" w:name="_Toc312677508"/>
      <w:r>
        <w:rPr>
          <w:rFonts w:hint="eastAsia" w:ascii="仿宋" w:hAnsi="仿宋" w:eastAsia="仿宋" w:cs="仿宋"/>
          <w:color w:val="auto"/>
          <w:kern w:val="0"/>
          <w:sz w:val="24"/>
          <w:u w:val="single"/>
        </w:rPr>
        <w:t>材料暂估价调整部分只调整差价，不重新组价，但要计取安全文明措施费、税金和规费</w:t>
      </w:r>
      <w:r>
        <w:rPr>
          <w:rFonts w:hint="eastAsia" w:ascii="仿宋" w:hAnsi="仿宋" w:eastAsia="仿宋" w:cs="仿宋"/>
          <w:color w:val="auto"/>
          <w:kern w:val="0"/>
          <w:sz w:val="24"/>
          <w:u w:val="single"/>
          <w:lang w:eastAsia="zh-CN"/>
        </w:rPr>
        <w:t>。专业工程暂估价，属业主部分金额，竣工结算时，应按承包人实际完成的工作内容结算</w:t>
      </w:r>
      <w:r>
        <w:rPr>
          <w:rFonts w:hint="eastAsia" w:ascii="仿宋" w:hAnsi="仿宋" w:eastAsia="仿宋" w:cs="仿宋"/>
          <w:color w:val="auto"/>
          <w:kern w:val="0"/>
          <w:sz w:val="24"/>
          <w:u w:val="none"/>
          <w:lang w:eastAsia="zh-CN"/>
        </w:rPr>
        <w:t>。</w:t>
      </w:r>
    </w:p>
    <w:bookmarkEnd w:id="364"/>
    <w:bookmarkEnd w:id="365"/>
    <w:bookmarkEnd w:id="366"/>
    <w:p w14:paraId="5B34300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bookmarkStart w:id="367" w:name="_Toc312678035"/>
      <w:bookmarkStart w:id="368" w:name="_Toc312677509"/>
      <w:bookmarkStart w:id="369" w:name="_Toc318581177"/>
      <w:r>
        <w:rPr>
          <w:rFonts w:hint="eastAsia" w:ascii="仿宋" w:hAnsi="仿宋" w:eastAsia="仿宋" w:cs="仿宋"/>
          <w:color w:val="auto"/>
          <w:sz w:val="24"/>
        </w:rPr>
        <w:t>0.7.1 依法必须招标的暂估价项目</w:t>
      </w:r>
    </w:p>
    <w:bookmarkEnd w:id="367"/>
    <w:bookmarkEnd w:id="368"/>
    <w:bookmarkEnd w:id="369"/>
    <w:p w14:paraId="500BF6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对于依法必须招标的暂估价项目的确认和批准采取第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2</w:t>
      </w:r>
      <w:r>
        <w:rPr>
          <w:rFonts w:hint="eastAsia" w:ascii="仿宋" w:hAnsi="仿宋" w:eastAsia="仿宋" w:cs="仿宋"/>
          <w:color w:val="auto"/>
          <w:sz w:val="24"/>
          <w:u w:val="single"/>
        </w:rPr>
        <w:t xml:space="preserve"> </w:t>
      </w:r>
      <w:r>
        <w:rPr>
          <w:rFonts w:hint="eastAsia" w:ascii="仿宋" w:hAnsi="仿宋" w:eastAsia="仿宋" w:cs="仿宋"/>
          <w:color w:val="auto"/>
          <w:sz w:val="24"/>
        </w:rPr>
        <w:t>种方式确定。</w:t>
      </w:r>
    </w:p>
    <w:p w14:paraId="4711DFB7">
      <w:pPr>
        <w:spacing w:line="360" w:lineRule="auto"/>
        <w:ind w:firstLine="482" w:firstLineChars="200"/>
        <w:rPr>
          <w:rFonts w:hint="eastAsia" w:ascii="仿宋" w:hAnsi="仿宋" w:eastAsia="仿宋" w:cs="仿宋"/>
          <w:b/>
          <w:bCs/>
          <w:color w:val="auto"/>
          <w:kern w:val="0"/>
          <w:sz w:val="24"/>
        </w:rPr>
      </w:pPr>
      <w:r>
        <w:rPr>
          <w:rFonts w:hint="eastAsia" w:ascii="仿宋" w:hAnsi="仿宋" w:eastAsia="仿宋" w:cs="仿宋"/>
          <w:b/>
          <w:bCs/>
          <w:color w:val="auto"/>
          <w:sz w:val="24"/>
        </w:rPr>
        <w:t>本条通用条款内容：</w:t>
      </w:r>
    </w:p>
    <w:p w14:paraId="4B17C3FB">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EE1141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10.7.2 不属于依法必须招标的暂估价项目</w:t>
      </w:r>
    </w:p>
    <w:p w14:paraId="3EE553C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对于不属于依法必须招标的暂估价项目的确认和批准采取第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3</w:t>
      </w:r>
      <w:r>
        <w:rPr>
          <w:rFonts w:hint="eastAsia" w:ascii="仿宋" w:hAnsi="仿宋" w:eastAsia="仿宋" w:cs="仿宋"/>
          <w:color w:val="auto"/>
          <w:sz w:val="24"/>
        </w:rPr>
        <w:t xml:space="preserve"> 种方式确定。</w:t>
      </w:r>
    </w:p>
    <w:p w14:paraId="0D3AD411">
      <w:pPr>
        <w:spacing w:line="360" w:lineRule="auto"/>
        <w:ind w:firstLine="482" w:firstLineChars="200"/>
        <w:rPr>
          <w:rFonts w:hint="eastAsia" w:ascii="仿宋" w:hAnsi="仿宋" w:eastAsia="仿宋" w:cs="仿宋"/>
          <w:color w:val="auto"/>
          <w:kern w:val="0"/>
          <w:sz w:val="24"/>
        </w:rPr>
      </w:pPr>
      <w:r>
        <w:rPr>
          <w:rFonts w:hint="eastAsia" w:ascii="仿宋" w:hAnsi="仿宋" w:eastAsia="仿宋" w:cs="仿宋"/>
          <w:b/>
          <w:bCs/>
          <w:color w:val="auto"/>
          <w:sz w:val="24"/>
        </w:rPr>
        <w:t>本条通用条款内容：</w:t>
      </w:r>
    </w:p>
    <w:p w14:paraId="72BEA94E">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第3种方式：</w:t>
      </w:r>
      <w:r>
        <w:rPr>
          <w:rFonts w:hint="eastAsia" w:ascii="仿宋" w:hAnsi="仿宋" w:eastAsia="仿宋" w:cs="仿宋"/>
          <w:color w:val="auto"/>
          <w:kern w:val="0"/>
          <w:sz w:val="24"/>
        </w:rPr>
        <w:t>承包人直接实施的暂估价项目</w:t>
      </w:r>
    </w:p>
    <w:p w14:paraId="5B7F5BF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kern w:val="0"/>
          <w:sz w:val="24"/>
        </w:rPr>
        <w:t>承包人具备实施暂估价项目的资格和条件的，经发包人和承包人协商一致后，可由承包人自行实施暂估价项目，合同当事人可以在专用合同条款约定具体事项。</w:t>
      </w:r>
    </w:p>
    <w:p w14:paraId="77DB22EC">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第3种方式：</w:t>
      </w:r>
      <w:r>
        <w:rPr>
          <w:rFonts w:hint="eastAsia" w:ascii="仿宋" w:hAnsi="仿宋" w:eastAsia="仿宋" w:cs="仿宋"/>
          <w:color w:val="auto"/>
          <w:kern w:val="0"/>
          <w:sz w:val="24"/>
        </w:rPr>
        <w:t>承包人直接实施的暂估价项目</w:t>
      </w:r>
    </w:p>
    <w:p w14:paraId="1A0E578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承包人直接实施的暂估价项目的约定：</w:t>
      </w:r>
      <w:r>
        <w:rPr>
          <w:rFonts w:hint="eastAsia" w:ascii="仿宋" w:hAnsi="仿宋" w:eastAsia="仿宋" w:cs="仿宋"/>
          <w:color w:val="auto"/>
          <w:sz w:val="24"/>
          <w:u w:val="single"/>
          <w:lang w:val="en-US" w:eastAsia="zh-CN"/>
        </w:rPr>
        <w:t>由发包人、承包人、监理人约定后实施。</w:t>
      </w:r>
    </w:p>
    <w:p w14:paraId="2E2C3696">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10.8 暂列金额</w:t>
      </w:r>
    </w:p>
    <w:p w14:paraId="7BBD0DC8">
      <w:pPr>
        <w:autoSpaceDE w:val="0"/>
        <w:autoSpaceDN w:val="0"/>
        <w:adjustRightInd w:val="0"/>
        <w:spacing w:line="360" w:lineRule="auto"/>
        <w:ind w:firstLine="480" w:firstLineChars="200"/>
        <w:rPr>
          <w:rFonts w:hint="eastAsia" w:ascii="仿宋" w:hAnsi="仿宋" w:eastAsia="仿宋" w:cs="仿宋"/>
          <w:color w:val="auto"/>
          <w:kern w:val="0"/>
          <w:sz w:val="24"/>
          <w:u w:val="single"/>
          <w:lang w:val="en-US" w:eastAsia="zh-CN"/>
        </w:rPr>
      </w:pPr>
      <w:r>
        <w:rPr>
          <w:rFonts w:hint="eastAsia" w:ascii="仿宋" w:hAnsi="仿宋" w:eastAsia="仿宋" w:cs="仿宋"/>
          <w:color w:val="auto"/>
          <w:kern w:val="0"/>
          <w:sz w:val="24"/>
        </w:rPr>
        <w:t>合同当事人关于暂列金额使用的约定：</w:t>
      </w:r>
      <w:bookmarkStart w:id="370" w:name="_Toc351203643"/>
      <w:r>
        <w:rPr>
          <w:rFonts w:hint="eastAsia" w:ascii="仿宋" w:hAnsi="仿宋" w:eastAsia="仿宋" w:cs="仿宋"/>
          <w:color w:val="auto"/>
          <w:kern w:val="0"/>
          <w:sz w:val="24"/>
          <w:u w:val="single"/>
          <w:lang w:val="en-US" w:eastAsia="zh-CN"/>
        </w:rPr>
        <w:t xml:space="preserve">  暂列金额属业主部分金额，竣工结算时，应按承包人实际完成的工作内容结算</w:t>
      </w:r>
      <w:r>
        <w:rPr>
          <w:rFonts w:hint="eastAsia" w:ascii="仿宋" w:hAnsi="仿宋" w:eastAsia="仿宋" w:cs="仿宋"/>
          <w:color w:val="auto"/>
          <w:kern w:val="0"/>
          <w:sz w:val="24"/>
          <w:u w:val="none"/>
          <w:lang w:val="en-US" w:eastAsia="zh-CN"/>
        </w:rPr>
        <w:t>。</w:t>
      </w:r>
    </w:p>
    <w:p w14:paraId="62B40E0B">
      <w:pPr>
        <w:autoSpaceDE w:val="0"/>
        <w:autoSpaceDN w:val="0"/>
        <w:adjustRightInd w:val="0"/>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11. 价格调整</w:t>
      </w:r>
      <w:bookmarkEnd w:id="370"/>
    </w:p>
    <w:p w14:paraId="57A44687">
      <w:pPr>
        <w:spacing w:line="360" w:lineRule="auto"/>
        <w:ind w:firstLine="482" w:firstLineChars="200"/>
        <w:rPr>
          <w:rFonts w:hint="eastAsia" w:ascii="仿宋" w:hAnsi="仿宋" w:eastAsia="仿宋" w:cs="仿宋"/>
          <w:b/>
          <w:bCs/>
          <w:color w:val="auto"/>
          <w:sz w:val="24"/>
        </w:rPr>
      </w:pPr>
      <w:bookmarkStart w:id="371" w:name="_Toc300935000"/>
      <w:bookmarkStart w:id="372" w:name="_Toc296346702"/>
      <w:bookmarkStart w:id="373" w:name="_Toc292559406"/>
      <w:bookmarkStart w:id="374" w:name="_Toc296503201"/>
      <w:bookmarkStart w:id="375" w:name="_Toc296891241"/>
      <w:bookmarkStart w:id="376" w:name="_Toc292559911"/>
      <w:bookmarkStart w:id="377" w:name="_Toc297216209"/>
      <w:bookmarkStart w:id="378" w:name="_Toc296891029"/>
      <w:bookmarkStart w:id="379" w:name="_Toc297123550"/>
      <w:bookmarkStart w:id="380" w:name="_Toc303539157"/>
      <w:bookmarkStart w:id="381" w:name="_Toc297120501"/>
      <w:bookmarkStart w:id="382" w:name="_Toc296944540"/>
      <w:bookmarkStart w:id="383" w:name="_Toc296347200"/>
      <w:bookmarkStart w:id="384" w:name="_Toc304295577"/>
      <w:bookmarkStart w:id="385" w:name="_Toc297048387"/>
      <w:bookmarkStart w:id="386" w:name="_Toc312678039"/>
      <w:r>
        <w:rPr>
          <w:rFonts w:hint="eastAsia" w:ascii="仿宋" w:hAnsi="仿宋" w:eastAsia="仿宋" w:cs="仿宋"/>
          <w:b/>
          <w:bCs/>
          <w:color w:val="auto"/>
          <w:sz w:val="24"/>
        </w:rPr>
        <w:t>11.1 市场价格波动引起的调整</w:t>
      </w:r>
    </w:p>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14:paraId="60CB2D42">
      <w:pPr>
        <w:spacing w:line="360" w:lineRule="auto"/>
        <w:ind w:firstLine="480" w:firstLineChars="200"/>
        <w:rPr>
          <w:rFonts w:hint="eastAsia" w:ascii="仿宋" w:hAnsi="仿宋" w:eastAsia="仿宋" w:cs="仿宋"/>
          <w:color w:val="auto"/>
          <w:sz w:val="24"/>
          <w:u w:val="single"/>
          <w:lang w:eastAsia="zh-CN"/>
        </w:rPr>
      </w:pPr>
      <w:r>
        <w:rPr>
          <w:rFonts w:hint="eastAsia" w:ascii="仿宋" w:hAnsi="仿宋" w:eastAsia="仿宋" w:cs="仿宋"/>
          <w:color w:val="auto"/>
          <w:kern w:val="0"/>
          <w:sz w:val="24"/>
        </w:rPr>
        <w:t>市场价格波动是否调整合同价格的约定：</w:t>
      </w:r>
      <w:r>
        <w:rPr>
          <w:rFonts w:hint="eastAsia" w:ascii="仿宋" w:hAnsi="仿宋" w:eastAsia="仿宋" w:cs="仿宋"/>
          <w:color w:val="auto"/>
          <w:kern w:val="0"/>
          <w:sz w:val="24"/>
          <w:u w:val="single"/>
          <w:lang w:val="en-US" w:eastAsia="zh-CN"/>
        </w:rPr>
        <w:t>除招标文件规定的暂估价,其余均不调整价格</w:t>
      </w:r>
      <w:r>
        <w:rPr>
          <w:rFonts w:hint="eastAsia" w:ascii="仿宋" w:hAnsi="仿宋" w:eastAsia="仿宋" w:cs="仿宋"/>
          <w:color w:val="auto"/>
          <w:sz w:val="24"/>
          <w:u w:val="none"/>
        </w:rPr>
        <w:t>。</w:t>
      </w:r>
    </w:p>
    <w:p w14:paraId="7062960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因市场价格波动调整合同价格，采用以下第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3</w:t>
      </w:r>
      <w:r>
        <w:rPr>
          <w:rFonts w:hint="eastAsia" w:ascii="仿宋" w:hAnsi="仿宋" w:eastAsia="仿宋" w:cs="仿宋"/>
          <w:color w:val="auto"/>
          <w:sz w:val="24"/>
          <w:u w:val="single"/>
        </w:rPr>
        <w:t xml:space="preserve"> </w:t>
      </w:r>
      <w:r>
        <w:rPr>
          <w:rFonts w:hint="eastAsia" w:ascii="仿宋" w:hAnsi="仿宋" w:eastAsia="仿宋" w:cs="仿宋"/>
          <w:color w:val="auto"/>
          <w:sz w:val="24"/>
        </w:rPr>
        <w:t>种方式对合同价格进行调整：</w:t>
      </w:r>
    </w:p>
    <w:p w14:paraId="50F80A9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第3种方式：其他价格调整方式：</w:t>
      </w:r>
    </w:p>
    <w:p w14:paraId="2F70813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约定价格波动调整的材料范围见附件《材料暂估价表》（除暂估价的材料价格波动时进行调整外，其他材料价格波动均不做调整），《材料暂估价表》中的材料、设备价格为招标文件中确定的基准价格</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4EF226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关于材料浮动价格的约定：以施工过程中每期发布的《咸阳工程造价信息》对应的当期信息价为调整计算的材料价格；若无，参照施工当期《陕西工程造价信息》，若仍无，由甲、乙、监理三方考察确定，只调整超出基准价±5%以外的差价，不重新组价，但是要计取安全文明措施费、税金和规费</w:t>
      </w:r>
      <w:r>
        <w:rPr>
          <w:rFonts w:hint="eastAsia" w:ascii="仿宋" w:hAnsi="仿宋" w:eastAsia="仿宋" w:cs="仿宋"/>
          <w:color w:val="auto"/>
          <w:sz w:val="24"/>
          <w:u w:val="none"/>
          <w:lang w:val="en-US" w:eastAsia="zh-CN"/>
        </w:rPr>
        <w:t>。</w:t>
      </w:r>
    </w:p>
    <w:p w14:paraId="57736EC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u w:val="single"/>
          <w:lang w:val="en-US" w:eastAsia="zh-CN"/>
        </w:rPr>
        <w:t>材料实际使用量的统计获取承包人应在每月 5 日前呈报当月约定材料计划及上月实际进场材料的统计报表。每种类型材料的实际使用量的上限为工程量清单中的材料量</w:t>
      </w:r>
      <w:r>
        <w:rPr>
          <w:rFonts w:hint="eastAsia" w:ascii="仿宋" w:hAnsi="仿宋" w:eastAsia="仿宋" w:cs="仿宋"/>
          <w:color w:val="auto"/>
          <w:sz w:val="24"/>
          <w:u w:val="none"/>
          <w:lang w:val="en-US" w:eastAsia="zh-CN"/>
        </w:rPr>
        <w:t>。</w:t>
      </w:r>
    </w:p>
    <w:bookmarkEnd w:id="266"/>
    <w:bookmarkEnd w:id="267"/>
    <w:bookmarkEnd w:id="268"/>
    <w:bookmarkEnd w:id="269"/>
    <w:bookmarkEnd w:id="270"/>
    <w:bookmarkEnd w:id="271"/>
    <w:p w14:paraId="5A56BC15">
      <w:pPr>
        <w:numPr>
          <w:ilvl w:val="3"/>
          <w:numId w:val="1"/>
        </w:numPr>
        <w:spacing w:before="0" w:after="0" w:line="360" w:lineRule="auto"/>
        <w:outlineLvl w:val="9"/>
        <w:rPr>
          <w:rFonts w:hint="eastAsia" w:ascii="仿宋" w:hAnsi="仿宋" w:eastAsia="仿宋" w:cs="仿宋"/>
          <w:b/>
          <w:bCs/>
          <w:color w:val="auto"/>
          <w:sz w:val="24"/>
          <w:szCs w:val="24"/>
        </w:rPr>
      </w:pPr>
      <w:bookmarkStart w:id="387" w:name="_Toc292559410"/>
      <w:bookmarkStart w:id="388" w:name="_Toc297120505"/>
      <w:bookmarkStart w:id="389" w:name="_Toc296346706"/>
      <w:bookmarkStart w:id="390" w:name="_Toc296944544"/>
      <w:bookmarkStart w:id="391" w:name="_Toc296347204"/>
      <w:bookmarkStart w:id="392" w:name="_Toc296891033"/>
      <w:bookmarkStart w:id="393" w:name="_Toc296503205"/>
      <w:bookmarkStart w:id="394" w:name="_Toc296891245"/>
      <w:bookmarkStart w:id="395" w:name="_Toc297048391"/>
      <w:bookmarkStart w:id="396" w:name="_Toc292559915"/>
      <w:bookmarkStart w:id="397" w:name="_Toc351203644"/>
      <w:bookmarkStart w:id="398" w:name="_Toc304295579"/>
      <w:bookmarkStart w:id="399" w:name="_Toc303539159"/>
      <w:bookmarkStart w:id="400" w:name="_Toc300935002"/>
      <w:bookmarkStart w:id="401" w:name="_Toc297123552"/>
      <w:bookmarkStart w:id="402" w:name="_Toc312678040"/>
      <w:bookmarkStart w:id="403" w:name="_Toc297216211"/>
      <w:r>
        <w:rPr>
          <w:rFonts w:hint="eastAsia" w:ascii="仿宋" w:hAnsi="仿宋" w:eastAsia="仿宋" w:cs="仿宋"/>
          <w:b/>
          <w:bCs/>
          <w:color w:val="auto"/>
          <w:sz w:val="24"/>
          <w:szCs w:val="24"/>
        </w:rPr>
        <w:t xml:space="preserve">12. </w:t>
      </w:r>
      <w:bookmarkEnd w:id="387"/>
      <w:bookmarkEnd w:id="388"/>
      <w:bookmarkEnd w:id="389"/>
      <w:bookmarkEnd w:id="390"/>
      <w:bookmarkEnd w:id="391"/>
      <w:bookmarkEnd w:id="392"/>
      <w:bookmarkEnd w:id="393"/>
      <w:bookmarkEnd w:id="394"/>
      <w:bookmarkEnd w:id="395"/>
      <w:bookmarkEnd w:id="396"/>
      <w:r>
        <w:rPr>
          <w:rFonts w:hint="eastAsia" w:ascii="仿宋" w:hAnsi="仿宋" w:eastAsia="仿宋" w:cs="仿宋"/>
          <w:b/>
          <w:bCs/>
          <w:color w:val="auto"/>
          <w:sz w:val="24"/>
          <w:szCs w:val="24"/>
        </w:rPr>
        <w:t>合同价格、计量与支付</w:t>
      </w:r>
      <w:bookmarkEnd w:id="397"/>
    </w:p>
    <w:bookmarkEnd w:id="398"/>
    <w:bookmarkEnd w:id="399"/>
    <w:bookmarkEnd w:id="400"/>
    <w:bookmarkEnd w:id="401"/>
    <w:bookmarkEnd w:id="402"/>
    <w:bookmarkEnd w:id="403"/>
    <w:p w14:paraId="7A68181A">
      <w:pPr>
        <w:spacing w:line="360" w:lineRule="auto"/>
        <w:ind w:firstLine="482" w:firstLineChars="200"/>
        <w:rPr>
          <w:rFonts w:hint="eastAsia" w:ascii="仿宋" w:hAnsi="仿宋" w:eastAsia="仿宋" w:cs="仿宋"/>
          <w:b/>
          <w:bCs/>
          <w:color w:val="auto"/>
          <w:sz w:val="24"/>
        </w:rPr>
      </w:pPr>
      <w:bookmarkStart w:id="404" w:name="_Toc292559411"/>
      <w:bookmarkStart w:id="405" w:name="_Toc267251461"/>
      <w:bookmarkStart w:id="406" w:name="_Toc292559916"/>
      <w:bookmarkStart w:id="407" w:name="_Toc296347205"/>
      <w:bookmarkStart w:id="408" w:name="_Toc296891034"/>
      <w:bookmarkStart w:id="409" w:name="_Toc296503206"/>
      <w:bookmarkStart w:id="410" w:name="_Toc297120506"/>
      <w:bookmarkStart w:id="411" w:name="_Toc296891246"/>
      <w:bookmarkStart w:id="412" w:name="_Toc296346707"/>
      <w:bookmarkStart w:id="413" w:name="_Toc297048392"/>
      <w:bookmarkStart w:id="414" w:name="_Toc296944545"/>
      <w:bookmarkStart w:id="415" w:name="_Toc297123553"/>
      <w:bookmarkStart w:id="416" w:name="_Toc303539160"/>
      <w:bookmarkStart w:id="417" w:name="_Toc300935003"/>
      <w:bookmarkStart w:id="418" w:name="_Toc312678041"/>
      <w:bookmarkStart w:id="419" w:name="_Toc297216212"/>
      <w:bookmarkStart w:id="420" w:name="_Toc304295580"/>
      <w:r>
        <w:rPr>
          <w:rFonts w:hint="eastAsia" w:ascii="仿宋" w:hAnsi="仿宋" w:eastAsia="仿宋" w:cs="仿宋"/>
          <w:b/>
          <w:bCs/>
          <w:color w:val="auto"/>
          <w:sz w:val="24"/>
        </w:rPr>
        <w:t>12.1 合</w:t>
      </w:r>
      <w:bookmarkEnd w:id="404"/>
      <w:bookmarkEnd w:id="405"/>
      <w:bookmarkEnd w:id="406"/>
      <w:r>
        <w:rPr>
          <w:rFonts w:hint="eastAsia" w:ascii="仿宋" w:hAnsi="仿宋" w:eastAsia="仿宋" w:cs="仿宋"/>
          <w:b/>
          <w:bCs/>
          <w:color w:val="auto"/>
          <w:sz w:val="24"/>
        </w:rPr>
        <w:t>同价</w:t>
      </w:r>
      <w:bookmarkEnd w:id="407"/>
      <w:bookmarkEnd w:id="408"/>
      <w:bookmarkEnd w:id="409"/>
      <w:bookmarkEnd w:id="410"/>
      <w:bookmarkEnd w:id="411"/>
      <w:bookmarkEnd w:id="412"/>
      <w:bookmarkEnd w:id="413"/>
      <w:bookmarkEnd w:id="414"/>
      <w:r>
        <w:rPr>
          <w:rFonts w:hint="eastAsia" w:ascii="仿宋" w:hAnsi="仿宋" w:eastAsia="仿宋" w:cs="仿宋"/>
          <w:b/>
          <w:bCs/>
          <w:color w:val="auto"/>
          <w:sz w:val="24"/>
        </w:rPr>
        <w:t>格形式</w:t>
      </w:r>
    </w:p>
    <w:bookmarkEnd w:id="415"/>
    <w:bookmarkEnd w:id="416"/>
    <w:bookmarkEnd w:id="417"/>
    <w:bookmarkEnd w:id="418"/>
    <w:bookmarkEnd w:id="419"/>
    <w:bookmarkEnd w:id="420"/>
    <w:p w14:paraId="60B127F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1、单价合同。</w:t>
      </w:r>
    </w:p>
    <w:p w14:paraId="083F636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 xml:space="preserve">综合单价包含的风险范围： </w:t>
      </w:r>
      <w:r>
        <w:rPr>
          <w:rFonts w:hint="eastAsia" w:ascii="仿宋" w:hAnsi="仿宋" w:eastAsia="仿宋" w:cs="仿宋"/>
          <w:color w:val="auto"/>
          <w:sz w:val="24"/>
          <w:u w:val="single"/>
          <w:lang w:val="en-US" w:eastAsia="zh-CN"/>
        </w:rPr>
        <w:t xml:space="preserve">本合同为固定综合单价合同，工程量按实计算。 </w:t>
      </w:r>
    </w:p>
    <w:p w14:paraId="4D74FF31">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合同价款中包括的风险范围为： （1）本合同为综合单价包干，综合单价中包含但不限于人工费、材料费、机械费、工期、工资、质量、现场经费、临时设施费、企业管理费、质检费、工程维护费、缺陷修复费、风险费、利润、税金等为完成单位工程所产生的所有费用；（2）施工期间招标文件规定可调整的主要材料价格浮动幅度内的风险；（3）招标文件未约定可调整的材料的价格浮动风险；4、工程量清单报价内的综合单价为一份具有约束力的合同文件的一部分，用来作为工程进度付款、计算工程变更增减及竣工结算的依据。以上风险承包人自主考虑，风险费用包含在投标报价中，工程结算时不再调整。风险范围内的价款结算均按投标综合单价执行</w:t>
      </w:r>
      <w:r>
        <w:rPr>
          <w:rFonts w:hint="eastAsia" w:ascii="仿宋" w:hAnsi="仿宋" w:eastAsia="仿宋" w:cs="仿宋"/>
          <w:color w:val="auto"/>
          <w:sz w:val="24"/>
          <w:u w:val="none"/>
          <w:lang w:val="en-US" w:eastAsia="zh-CN"/>
        </w:rPr>
        <w:t xml:space="preserve">。 </w:t>
      </w:r>
    </w:p>
    <w:p w14:paraId="3A2EE5CD">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lang w:val="en-US" w:eastAsia="zh-CN"/>
        </w:rPr>
        <w:t>风险费用的计算方法：</w:t>
      </w:r>
      <w:r>
        <w:rPr>
          <w:rFonts w:hint="eastAsia" w:ascii="仿宋" w:hAnsi="仿宋" w:eastAsia="仿宋" w:cs="仿宋"/>
          <w:color w:val="auto"/>
          <w:sz w:val="24"/>
          <w:u w:val="single"/>
          <w:lang w:val="en-US" w:eastAsia="zh-CN"/>
        </w:rPr>
        <w:t xml:space="preserve"> 承包人投标时已充分考虑风险并将风险费用计入投标报价，投标人在投标综合单价中未列明风险金的视为综合单价已包含了风险费用</w:t>
      </w:r>
      <w:r>
        <w:rPr>
          <w:rFonts w:hint="eastAsia" w:ascii="仿宋" w:hAnsi="仿宋" w:eastAsia="仿宋" w:cs="仿宋"/>
          <w:color w:val="auto"/>
          <w:sz w:val="24"/>
          <w:u w:val="none"/>
          <w:lang w:val="en-US" w:eastAsia="zh-CN"/>
        </w:rPr>
        <w:t>。</w:t>
      </w:r>
    </w:p>
    <w:p w14:paraId="68E35F9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风险范围以外合同价格的调整方法： </w:t>
      </w:r>
    </w:p>
    <w:p w14:paraId="3924F55E">
      <w:pPr>
        <w:spacing w:line="360" w:lineRule="auto"/>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en-US" w:eastAsia="zh-CN"/>
        </w:rPr>
        <w:t>（1）工程量的调整</w:t>
      </w:r>
      <w:r>
        <w:rPr>
          <w:rFonts w:hint="eastAsia" w:ascii="仿宋" w:hAnsi="仿宋" w:eastAsia="仿宋" w:cs="仿宋"/>
          <w:color w:val="auto"/>
          <w:sz w:val="24"/>
          <w:lang w:val="en-US" w:eastAsia="zh-CN"/>
        </w:rPr>
        <w:t xml:space="preserve"> </w:t>
      </w:r>
    </w:p>
    <w:p w14:paraId="4AD68250">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关于工程量的调整：据实调整工程量，但无论工程量增减多少，对应的综合单价均不因工程量增减而调整。 工程量调整后：（a）清单或合同中已有适用于新工程量清单项目的价格，按已有价格变更合同价款；（b）清单或合同中只有类似于新工程量清单项目的价格，可以参照类似价格变更合同价款；（c）清单或合同中没有类似于新工程量清单项目的价格，由承包人提出适当的价格，经监理工程师及发包方共同确认后执行</w:t>
      </w:r>
      <w:r>
        <w:rPr>
          <w:rFonts w:hint="eastAsia" w:ascii="仿宋" w:hAnsi="仿宋" w:eastAsia="仿宋" w:cs="仿宋"/>
          <w:color w:val="auto"/>
          <w:sz w:val="24"/>
          <w:u w:val="none"/>
          <w:lang w:val="en-US" w:eastAsia="zh-CN"/>
        </w:rPr>
        <w:t xml:space="preserve">。 </w:t>
      </w:r>
    </w:p>
    <w:p w14:paraId="6B826829">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变更和签证：以甲方工地工程师与监理工程师签证为依据，以中标人在投标时该子目综合单价计取工程费；清单或合同中已有适用于新工程量清单项目的价格，按已有价格变更合同价款；清单或合同中只有类似于新工程量清单项目的价格，可以参照类似价格变更合同价款；清单或合同中没有类似于新工程量清单项目的价格，执行（2009）《陕西省建筑工程量清单计价规则》，（2004）《陕西省建筑、装饰、安装工程消耗量定额2009价目表》（电子版）及其配套的《参考费率》，由承包人提出综合单价，发包人确认</w:t>
      </w:r>
      <w:r>
        <w:rPr>
          <w:rFonts w:hint="eastAsia" w:ascii="仿宋" w:hAnsi="仿宋" w:eastAsia="仿宋" w:cs="仿宋"/>
          <w:color w:val="auto"/>
          <w:sz w:val="24"/>
          <w:u w:val="none"/>
          <w:lang w:val="en-US" w:eastAsia="zh-CN"/>
        </w:rPr>
        <w:t xml:space="preserve">。 </w:t>
      </w:r>
    </w:p>
    <w:p w14:paraId="5FD5C46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u w:val="single"/>
          <w:lang w:val="en-US" w:eastAsia="zh-CN"/>
        </w:rPr>
        <w:t>本工程暂估材料：工程结算时按发包人认质认价单据实结算，调整部分只调整差价，不重新组价，但是要计取安全文明措施费、税金和规费</w:t>
      </w:r>
      <w:r>
        <w:rPr>
          <w:rFonts w:hint="eastAsia" w:ascii="仿宋" w:hAnsi="仿宋" w:eastAsia="仿宋" w:cs="仿宋"/>
          <w:color w:val="auto"/>
          <w:sz w:val="24"/>
          <w:u w:val="none"/>
          <w:lang w:val="en-US" w:eastAsia="zh-CN"/>
        </w:rPr>
        <w:t xml:space="preserve">。 </w:t>
      </w:r>
    </w:p>
    <w:p w14:paraId="1905332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u w:val="single"/>
          <w:lang w:val="en-US" w:eastAsia="zh-CN"/>
        </w:rPr>
        <w:t>调整依据：以《咸阳工程造价信息》对应的暂估材料价格为基准，以材料采购进场时间发布的《咸阳工程造价信息》对应的各规格材料价格为浮动价，当《材料暂估价表》中各类各规格材料浮动价与基准价相差±5%以外时，按规定方法进行调整</w:t>
      </w:r>
      <w:r>
        <w:rPr>
          <w:rFonts w:hint="eastAsia" w:ascii="仿宋" w:hAnsi="仿宋" w:eastAsia="仿宋" w:cs="仿宋"/>
          <w:color w:val="auto"/>
          <w:sz w:val="24"/>
          <w:u w:val="none"/>
          <w:lang w:val="en-US" w:eastAsia="zh-CN"/>
        </w:rPr>
        <w:t xml:space="preserve">。 </w:t>
      </w:r>
    </w:p>
    <w:p w14:paraId="0014F88F">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lang w:val="en-US" w:eastAsia="zh-CN"/>
        </w:rPr>
        <w:t>5）</w:t>
      </w:r>
      <w:r>
        <w:rPr>
          <w:rFonts w:hint="eastAsia" w:ascii="仿宋" w:hAnsi="仿宋" w:eastAsia="仿宋" w:cs="仿宋"/>
          <w:color w:val="auto"/>
          <w:sz w:val="24"/>
          <w:u w:val="single"/>
          <w:lang w:val="en-US" w:eastAsia="zh-CN"/>
        </w:rPr>
        <w:t>调整范围和方法：同专用条款第 11.1 约定</w:t>
      </w:r>
      <w:r>
        <w:rPr>
          <w:rFonts w:hint="eastAsia" w:ascii="仿宋" w:hAnsi="仿宋" w:eastAsia="仿宋" w:cs="仿宋"/>
          <w:color w:val="auto"/>
          <w:sz w:val="24"/>
          <w:u w:val="none"/>
          <w:lang w:val="en-US" w:eastAsia="zh-CN"/>
        </w:rPr>
        <w:t>。</w:t>
      </w:r>
    </w:p>
    <w:p w14:paraId="6CFA705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u w:val="single"/>
          <w:lang w:val="en-US" w:eastAsia="zh-CN"/>
        </w:rPr>
        <w:t>除上述调整情况外，其他材料市场价格变动不再调整合同价款</w:t>
      </w:r>
      <w:r>
        <w:rPr>
          <w:rFonts w:hint="eastAsia" w:ascii="仿宋" w:hAnsi="仿宋" w:eastAsia="仿宋" w:cs="仿宋"/>
          <w:color w:val="auto"/>
          <w:sz w:val="24"/>
          <w:u w:val="none"/>
          <w:lang w:val="en-US" w:eastAsia="zh-CN"/>
        </w:rPr>
        <w:t xml:space="preserve">。 </w:t>
      </w:r>
    </w:p>
    <w:p w14:paraId="166F622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7）</w:t>
      </w:r>
      <w:r>
        <w:rPr>
          <w:rFonts w:hint="eastAsia" w:ascii="仿宋" w:hAnsi="仿宋" w:eastAsia="仿宋" w:cs="仿宋"/>
          <w:color w:val="auto"/>
          <w:sz w:val="24"/>
          <w:u w:val="single"/>
          <w:lang w:val="en-US" w:eastAsia="zh-CN"/>
        </w:rPr>
        <w:t>政策性调整：国家的法律、法规、规章和政策发生变化影响工程造价的，按省建设主管部门或其授权的省工程造价管理机构发布的规定调整合同价款。施工期间如陕西省建设行政部门发布有关人工、机械调价文件，结算按调价文件执行调整</w:t>
      </w:r>
      <w:r>
        <w:rPr>
          <w:rFonts w:hint="eastAsia" w:ascii="仿宋" w:hAnsi="仿宋" w:eastAsia="仿宋" w:cs="仿宋"/>
          <w:color w:val="auto"/>
          <w:sz w:val="24"/>
          <w:u w:val="none"/>
          <w:lang w:val="en-US" w:eastAsia="zh-CN"/>
        </w:rPr>
        <w:t xml:space="preserve">。 </w:t>
      </w:r>
    </w:p>
    <w:p w14:paraId="79FB144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（2）措施项目费： </w:t>
      </w:r>
    </w:p>
    <w:p w14:paraId="587D967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u w:val="none"/>
          <w:lang w:val="en-US" w:eastAsia="zh-CN"/>
        </w:rPr>
        <w:t>承包人中标的措施项目费为合同价款的组成部分，一般不作调整，出现下列情况时可作调整：</w:t>
      </w:r>
      <w:r>
        <w:rPr>
          <w:rFonts w:hint="eastAsia" w:ascii="仿宋" w:hAnsi="仿宋" w:eastAsia="仿宋" w:cs="仿宋"/>
          <w:color w:val="auto"/>
          <w:sz w:val="24"/>
          <w:lang w:val="en-US" w:eastAsia="zh-CN"/>
        </w:rPr>
        <w:t xml:space="preserve"> </w:t>
      </w:r>
    </w:p>
    <w:p w14:paraId="6E7F389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a）</w:t>
      </w:r>
      <w:r>
        <w:rPr>
          <w:rFonts w:hint="eastAsia" w:ascii="仿宋" w:hAnsi="仿宋" w:eastAsia="仿宋" w:cs="仿宋"/>
          <w:color w:val="auto"/>
          <w:sz w:val="24"/>
          <w:u w:val="single"/>
          <w:lang w:val="en-US" w:eastAsia="zh-CN"/>
        </w:rPr>
        <w:t>发包人更改已审定的施工方案（修正错误除外），引起措施项目费用增加时予以增加，减少时不予减少</w:t>
      </w:r>
      <w:r>
        <w:rPr>
          <w:rFonts w:hint="eastAsia" w:ascii="仿宋" w:hAnsi="仿宋" w:eastAsia="仿宋" w:cs="仿宋"/>
          <w:color w:val="auto"/>
          <w:sz w:val="24"/>
          <w:u w:val="none"/>
          <w:lang w:val="en-US" w:eastAsia="zh-CN"/>
        </w:rPr>
        <w:t xml:space="preserve">。 </w:t>
      </w:r>
    </w:p>
    <w:p w14:paraId="362E0FD0">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b）</w:t>
      </w:r>
      <w:r>
        <w:rPr>
          <w:rFonts w:hint="eastAsia" w:ascii="仿宋" w:hAnsi="仿宋" w:eastAsia="仿宋" w:cs="仿宋"/>
          <w:color w:val="auto"/>
          <w:sz w:val="24"/>
          <w:u w:val="single"/>
          <w:lang w:val="en-US" w:eastAsia="zh-CN"/>
        </w:rPr>
        <w:t>由于工程量变化引起措施项目费用增加时予以增加，减少时予以减少。措施项目费调整，原中标价的综合单价计算的项目参照分部分项清单综合单价调整办法计算，以系数计算项目，按原中标价中系数计算</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0E22904">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c）</w:t>
      </w:r>
      <w:r>
        <w:rPr>
          <w:rFonts w:hint="eastAsia" w:ascii="仿宋" w:hAnsi="仿宋" w:eastAsia="仿宋" w:cs="仿宋"/>
          <w:color w:val="auto"/>
          <w:sz w:val="24"/>
          <w:u w:val="single"/>
          <w:lang w:val="en-US" w:eastAsia="zh-CN"/>
        </w:rPr>
        <w:t>计日工费按承包人实际完成工作进行结算</w:t>
      </w:r>
      <w:r>
        <w:rPr>
          <w:rFonts w:hint="eastAsia" w:ascii="仿宋" w:hAnsi="仿宋" w:eastAsia="仿宋" w:cs="仿宋"/>
          <w:color w:val="auto"/>
          <w:sz w:val="24"/>
          <w:u w:val="none"/>
          <w:lang w:val="en-US" w:eastAsia="zh-CN"/>
        </w:rPr>
        <w:t xml:space="preserve">。 </w:t>
      </w:r>
    </w:p>
    <w:p w14:paraId="5C9D6AC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2、总价合同。</w:t>
      </w:r>
    </w:p>
    <w:p w14:paraId="38A610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总价包含的风险范围：</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915CAC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风险费用的计算方法：</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19AC48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风险范围以外合同价格的调整方法：</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44737E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3、其他价格方式：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995CE95">
      <w:pPr>
        <w:spacing w:line="360" w:lineRule="auto"/>
        <w:ind w:firstLine="482" w:firstLineChars="200"/>
        <w:rPr>
          <w:rFonts w:hint="eastAsia" w:ascii="仿宋" w:hAnsi="仿宋" w:eastAsia="仿宋" w:cs="仿宋"/>
          <w:b/>
          <w:bCs/>
          <w:color w:val="auto"/>
          <w:sz w:val="24"/>
        </w:rPr>
      </w:pPr>
      <w:bookmarkStart w:id="421" w:name="_Toc297123554"/>
      <w:bookmarkStart w:id="422" w:name="_Toc303539161"/>
      <w:bookmarkStart w:id="423" w:name="_Toc300935004"/>
      <w:bookmarkStart w:id="424" w:name="_Toc312678042"/>
      <w:bookmarkStart w:id="425" w:name="_Toc297216213"/>
      <w:bookmarkStart w:id="426" w:name="_Toc304295581"/>
      <w:bookmarkStart w:id="427" w:name="_Toc296346708"/>
      <w:bookmarkStart w:id="428" w:name="_Toc297120507"/>
      <w:bookmarkStart w:id="429" w:name="_Toc297048393"/>
      <w:bookmarkStart w:id="430" w:name="_Toc296891247"/>
      <w:bookmarkStart w:id="431" w:name="_Toc296944546"/>
      <w:bookmarkStart w:id="432" w:name="_Toc296347206"/>
      <w:bookmarkStart w:id="433" w:name="_Toc292559917"/>
      <w:bookmarkStart w:id="434" w:name="_Toc296503207"/>
      <w:bookmarkStart w:id="435" w:name="_Toc292559412"/>
      <w:bookmarkStart w:id="436" w:name="_Toc296891035"/>
      <w:r>
        <w:rPr>
          <w:rFonts w:hint="eastAsia" w:ascii="仿宋" w:hAnsi="仿宋" w:eastAsia="仿宋" w:cs="仿宋"/>
          <w:b/>
          <w:bCs/>
          <w:color w:val="auto"/>
          <w:sz w:val="24"/>
        </w:rPr>
        <w:t>12.2 预付款</w:t>
      </w:r>
    </w:p>
    <w:bookmarkEnd w:id="421"/>
    <w:bookmarkEnd w:id="422"/>
    <w:bookmarkEnd w:id="423"/>
    <w:bookmarkEnd w:id="424"/>
    <w:bookmarkEnd w:id="425"/>
    <w:bookmarkEnd w:id="426"/>
    <w:p w14:paraId="786701C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12.2.1 预付款的支付</w:t>
      </w:r>
    </w:p>
    <w:p w14:paraId="72E1992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预付款支付比例或金额：</w:t>
      </w:r>
      <w:r>
        <w:rPr>
          <w:rFonts w:hint="eastAsia" w:ascii="仿宋" w:hAnsi="仿宋" w:eastAsia="仿宋" w:cs="仿宋"/>
          <w:color w:val="auto"/>
          <w:sz w:val="24"/>
          <w:u w:val="single"/>
          <w:lang w:eastAsia="zh-CN"/>
        </w:rPr>
        <w:t>本工程无预付款</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E2CEFA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预付款支付期限：</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B89DEB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预付款扣回的方式：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38FA36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12.2.2 预付款担保</w:t>
      </w:r>
    </w:p>
    <w:p w14:paraId="53BF685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承包人提交预付款担保的期限：</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1CB4D06E">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lang w:val="en-US" w:eastAsia="zh-CN"/>
        </w:rPr>
        <w:t>预付款担保的形式为：</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w:t>
      </w:r>
    </w:p>
    <w:p w14:paraId="4A4C89A7">
      <w:pPr>
        <w:spacing w:line="360" w:lineRule="auto"/>
        <w:ind w:firstLine="482" w:firstLineChars="200"/>
        <w:rPr>
          <w:rFonts w:hint="eastAsia" w:ascii="仿宋" w:hAnsi="仿宋" w:eastAsia="仿宋" w:cs="仿宋"/>
          <w:b/>
          <w:bCs/>
          <w:color w:val="auto"/>
          <w:sz w:val="24"/>
          <w:u w:val="none"/>
          <w:lang w:val="en-US" w:eastAsia="zh-CN"/>
        </w:rPr>
      </w:pPr>
      <w:r>
        <w:rPr>
          <w:rFonts w:hint="eastAsia" w:ascii="仿宋" w:hAnsi="仿宋" w:eastAsia="仿宋" w:cs="仿宋"/>
          <w:b/>
          <w:bCs/>
          <w:color w:val="auto"/>
          <w:sz w:val="24"/>
          <w:u w:val="none"/>
          <w:lang w:val="en-US" w:eastAsia="zh-CN"/>
        </w:rPr>
        <w:t>12.3计量</w:t>
      </w:r>
    </w:p>
    <w:p w14:paraId="0DF8C847">
      <w:pPr>
        <w:spacing w:line="360" w:lineRule="auto"/>
        <w:ind w:firstLine="480" w:firstLineChars="200"/>
        <w:rPr>
          <w:rFonts w:hint="eastAsia" w:ascii="仿宋" w:hAnsi="仿宋" w:eastAsia="仿宋" w:cs="仿宋"/>
          <w:color w:val="auto"/>
          <w:sz w:val="24"/>
          <w:u w:val="none"/>
          <w:lang w:val="en-US" w:eastAsia="zh-CN"/>
        </w:rPr>
      </w:pPr>
      <w:r>
        <w:rPr>
          <w:rFonts w:hint="eastAsia" w:ascii="仿宋" w:hAnsi="仿宋" w:eastAsia="仿宋" w:cs="仿宋"/>
          <w:color w:val="auto"/>
          <w:sz w:val="24"/>
          <w:u w:val="none"/>
          <w:lang w:val="en-US" w:eastAsia="zh-CN"/>
        </w:rPr>
        <w:t>12.3.1计量原则</w:t>
      </w:r>
    </w:p>
    <w:bookmarkEnd w:id="427"/>
    <w:bookmarkEnd w:id="428"/>
    <w:bookmarkEnd w:id="429"/>
    <w:bookmarkEnd w:id="430"/>
    <w:bookmarkEnd w:id="431"/>
    <w:bookmarkEnd w:id="432"/>
    <w:bookmarkEnd w:id="433"/>
    <w:bookmarkEnd w:id="434"/>
    <w:bookmarkEnd w:id="435"/>
    <w:bookmarkEnd w:id="436"/>
    <w:p w14:paraId="0A682E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工程量计算规则： </w:t>
      </w:r>
    </w:p>
    <w:p w14:paraId="6788D4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1、</w:t>
      </w:r>
      <w:r>
        <w:rPr>
          <w:rFonts w:hint="eastAsia" w:ascii="仿宋" w:hAnsi="仿宋" w:eastAsia="仿宋" w:cs="仿宋"/>
          <w:color w:val="auto"/>
          <w:sz w:val="24"/>
          <w:u w:val="single"/>
          <w:lang w:val="en-US" w:eastAsia="zh-CN"/>
        </w:rPr>
        <w:t>本工程按照实际工程量结算，但不论实际施工工程量与招标工程量清单的工程量发生多大变化，本合同综合单价均不做调整</w:t>
      </w:r>
      <w:r>
        <w:rPr>
          <w:rFonts w:hint="eastAsia" w:ascii="仿宋" w:hAnsi="仿宋" w:eastAsia="仿宋" w:cs="仿宋"/>
          <w:color w:val="auto"/>
          <w:sz w:val="24"/>
          <w:u w:val="none"/>
          <w:lang w:val="en-US" w:eastAsia="zh-CN"/>
        </w:rPr>
        <w:t xml:space="preserve">。 </w:t>
      </w:r>
    </w:p>
    <w:p w14:paraId="5CD235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eastAsia="zh-CN"/>
        </w:rPr>
      </w:pPr>
      <w:r>
        <w:rPr>
          <w:rFonts w:hint="eastAsia" w:ascii="仿宋" w:hAnsi="仿宋" w:eastAsia="仿宋" w:cs="仿宋"/>
          <w:color w:val="auto"/>
          <w:sz w:val="24"/>
          <w:u w:val="none"/>
          <w:lang w:val="en-US" w:eastAsia="zh-CN"/>
        </w:rPr>
        <w:t>2、</w:t>
      </w:r>
      <w:r>
        <w:rPr>
          <w:rFonts w:hint="eastAsia" w:ascii="仿宋" w:hAnsi="仿宋" w:eastAsia="仿宋" w:cs="仿宋"/>
          <w:color w:val="auto"/>
          <w:sz w:val="24"/>
          <w:u w:val="single"/>
          <w:lang w:val="en-US" w:eastAsia="zh-CN"/>
        </w:rPr>
        <w:t>承包人中标的措施项目费为合同价款的组成部分，一般不作调整，但出现下列情况可做调整</w:t>
      </w:r>
      <w:r>
        <w:rPr>
          <w:rFonts w:hint="eastAsia" w:ascii="仿宋" w:hAnsi="仿宋" w:eastAsia="仿宋" w:cs="仿宋"/>
          <w:color w:val="auto"/>
          <w:sz w:val="24"/>
          <w:u w:val="none"/>
          <w:lang w:val="en-US" w:eastAsia="zh-CN"/>
        </w:rPr>
        <w:t>。</w:t>
      </w:r>
    </w:p>
    <w:p w14:paraId="69C07F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a.发包人更改已审定的施工方案（修正错误除外），引起措施项目费用增加时予以增加，减少时不予减少</w:t>
      </w:r>
      <w:r>
        <w:rPr>
          <w:rFonts w:hint="eastAsia" w:ascii="仿宋" w:hAnsi="仿宋" w:eastAsia="仿宋" w:cs="仿宋"/>
          <w:color w:val="auto"/>
          <w:sz w:val="24"/>
          <w:u w:val="none"/>
          <w:lang w:val="en-US" w:eastAsia="zh-CN"/>
        </w:rPr>
        <w:t xml:space="preserve">。                                          </w:t>
      </w:r>
      <w:r>
        <w:rPr>
          <w:rFonts w:hint="eastAsia" w:ascii="仿宋" w:hAnsi="仿宋" w:eastAsia="仿宋" w:cs="仿宋"/>
          <w:color w:val="auto"/>
          <w:sz w:val="24"/>
          <w:u w:val="single"/>
          <w:lang w:val="en-US" w:eastAsia="zh-CN"/>
        </w:rPr>
        <w:t xml:space="preserve">     </w:t>
      </w:r>
    </w:p>
    <w:p w14:paraId="1CD6D8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 xml:space="preserve"> b.由于工程量变化引起措施费用增加时予以增加，减少时予以减少。措施项目费调整，原中标价的综合单价计算的项目参照分部分项清单综合单价调整办法计算，以系数计算项目，按原中标价中系数计算</w:t>
      </w:r>
      <w:r>
        <w:rPr>
          <w:rFonts w:hint="eastAsia" w:ascii="仿宋" w:hAnsi="仿宋" w:eastAsia="仿宋" w:cs="仿宋"/>
          <w:color w:val="auto"/>
          <w:sz w:val="24"/>
          <w:u w:val="none"/>
          <w:lang w:val="en-US" w:eastAsia="zh-CN"/>
        </w:rPr>
        <w:t>。</w:t>
      </w:r>
    </w:p>
    <w:p w14:paraId="48BF76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3、</w:t>
      </w:r>
      <w:r>
        <w:rPr>
          <w:rFonts w:hint="eastAsia" w:ascii="仿宋" w:hAnsi="仿宋" w:eastAsia="仿宋" w:cs="仿宋"/>
          <w:color w:val="auto"/>
          <w:sz w:val="24"/>
          <w:u w:val="single"/>
          <w:lang w:val="en-US" w:eastAsia="zh-CN"/>
        </w:rPr>
        <w:t>关于税金：承包人在报价中根据税务机关及当地造价部门的最新规定进行报价，结算时按照报价中的税率进行取费，除非国家税务机关发布强制性调整政策，不论承包人实际缴纳税金是多少，在结算时税率均不作改变</w:t>
      </w:r>
      <w:r>
        <w:rPr>
          <w:rFonts w:hint="eastAsia" w:ascii="仿宋" w:hAnsi="仿宋" w:eastAsia="仿宋" w:cs="仿宋"/>
          <w:color w:val="auto"/>
          <w:sz w:val="24"/>
          <w:u w:val="none"/>
          <w:lang w:val="en-US" w:eastAsia="zh-CN"/>
        </w:rPr>
        <w:t xml:space="preserve">。 </w:t>
      </w:r>
    </w:p>
    <w:p w14:paraId="084829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4、</w:t>
      </w:r>
      <w:r>
        <w:rPr>
          <w:rFonts w:hint="eastAsia" w:ascii="仿宋" w:hAnsi="仿宋" w:eastAsia="仿宋" w:cs="仿宋"/>
          <w:color w:val="auto"/>
          <w:sz w:val="24"/>
          <w:u w:val="single"/>
          <w:lang w:val="en-US" w:eastAsia="zh-CN"/>
        </w:rPr>
        <w:t>关于临电：承包人依据现场实际情况向电力部门提出书面申请，在使用完成后如发包人接收该临电，则由承包人向发包人移交，移交后由发包人承担该临电费用，具体事宜由双方另行协商并签订书面协议</w:t>
      </w:r>
      <w:r>
        <w:rPr>
          <w:rFonts w:hint="eastAsia" w:ascii="仿宋" w:hAnsi="仿宋" w:eastAsia="仿宋" w:cs="仿宋"/>
          <w:color w:val="auto"/>
          <w:sz w:val="24"/>
          <w:u w:val="none"/>
          <w:lang w:val="en-US" w:eastAsia="zh-CN"/>
        </w:rPr>
        <w:t xml:space="preserve">。 </w:t>
      </w:r>
    </w:p>
    <w:p w14:paraId="3F2A3C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5、</w:t>
      </w:r>
      <w:r>
        <w:rPr>
          <w:rFonts w:hint="eastAsia" w:ascii="仿宋" w:hAnsi="仿宋" w:eastAsia="仿宋" w:cs="仿宋"/>
          <w:b w:val="0"/>
          <w:bCs w:val="0"/>
          <w:color w:val="auto"/>
          <w:kern w:val="0"/>
          <w:sz w:val="24"/>
          <w:szCs w:val="24"/>
          <w:highlight w:val="none"/>
          <w:u w:val="single"/>
          <w:lang w:val="en-US" w:eastAsia="zh-CN" w:bidi="ar"/>
        </w:rPr>
        <w:t>投标报价不考虑零星用工，零星用工以实际发生为准</w:t>
      </w:r>
      <w:r>
        <w:rPr>
          <w:rFonts w:hint="eastAsia" w:ascii="仿宋" w:hAnsi="仿宋" w:eastAsia="仿宋" w:cs="仿宋"/>
          <w:color w:val="auto"/>
          <w:sz w:val="24"/>
          <w:u w:val="none"/>
          <w:lang w:val="en-US" w:eastAsia="zh-CN"/>
        </w:rPr>
        <w:t xml:space="preserve">。 </w:t>
      </w:r>
    </w:p>
    <w:p w14:paraId="1799FF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u w:val="single"/>
          <w:lang w:val="en-US"/>
        </w:rPr>
      </w:pPr>
      <w:r>
        <w:rPr>
          <w:rFonts w:hint="eastAsia" w:ascii="仿宋" w:hAnsi="仿宋" w:eastAsia="仿宋" w:cs="仿宋"/>
          <w:color w:val="auto"/>
          <w:sz w:val="24"/>
          <w:u w:val="none"/>
          <w:lang w:val="en-US" w:eastAsia="zh-CN"/>
        </w:rPr>
        <w:t>6、</w:t>
      </w:r>
      <w:r>
        <w:rPr>
          <w:rFonts w:hint="eastAsia" w:ascii="仿宋" w:hAnsi="仿宋" w:eastAsia="仿宋" w:cs="仿宋"/>
          <w:color w:val="auto"/>
          <w:sz w:val="24"/>
          <w:u w:val="single"/>
          <w:lang w:val="en-US" w:eastAsia="zh-CN"/>
        </w:rPr>
        <w:t>投标中的各种规费及保险，结算根据现行计价标准相关规定执行</w:t>
      </w:r>
      <w:r>
        <w:rPr>
          <w:rFonts w:hint="eastAsia" w:ascii="仿宋" w:hAnsi="仿宋" w:eastAsia="仿宋" w:cs="仿宋"/>
          <w:color w:val="auto"/>
          <w:sz w:val="24"/>
          <w:u w:val="none"/>
          <w:lang w:val="en-US" w:eastAsia="zh-CN"/>
        </w:rPr>
        <w:t>。</w:t>
      </w:r>
    </w:p>
    <w:p w14:paraId="23E395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12.3.2 计量周期 </w:t>
      </w:r>
    </w:p>
    <w:p w14:paraId="60FADA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关于计量周期的约定：</w:t>
      </w:r>
      <w:r>
        <w:rPr>
          <w:rFonts w:hint="eastAsia" w:ascii="仿宋" w:hAnsi="仿宋" w:eastAsia="仿宋" w:cs="仿宋"/>
          <w:color w:val="auto"/>
          <w:sz w:val="24"/>
          <w:u w:val="single"/>
          <w:lang w:val="en-US" w:eastAsia="zh-CN"/>
        </w:rPr>
        <w:t>按月进行</w:t>
      </w:r>
      <w:r>
        <w:rPr>
          <w:rFonts w:hint="eastAsia" w:ascii="仿宋" w:hAnsi="仿宋" w:eastAsia="仿宋" w:cs="仿宋"/>
          <w:color w:val="auto"/>
          <w:sz w:val="24"/>
          <w:u w:val="none"/>
          <w:lang w:val="en-US" w:eastAsia="zh-CN"/>
        </w:rPr>
        <w:t xml:space="preserve">。 </w:t>
      </w:r>
    </w:p>
    <w:p w14:paraId="29BCE5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12.3.3 单价合同的计量 </w:t>
      </w:r>
    </w:p>
    <w:p w14:paraId="6DA47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u w:val="single"/>
          <w:lang w:val="en-US" w:eastAsia="zh-CN"/>
        </w:rPr>
        <w:t>关于单价合同计量的约定：承包人应于每月 2 日向发包人报送上月已完成的工程量及累计已完工程量，并附具已完成工程量报表和有关资料。此外承包人完成专用条款 12.4.1 项支付节点要求的工作后，应在 7 日内向监理人报送已完成的工程量报告，并附具进度付款申请单、已完成工程量报表和有关资料，最终按照实际工程量据实结算</w:t>
      </w:r>
      <w:r>
        <w:rPr>
          <w:rFonts w:hint="eastAsia" w:ascii="仿宋" w:hAnsi="仿宋" w:eastAsia="仿宋" w:cs="仿宋"/>
          <w:color w:val="auto"/>
          <w:sz w:val="24"/>
          <w:u w:val="none"/>
          <w:lang w:val="en-US" w:eastAsia="zh-CN"/>
        </w:rPr>
        <w:t xml:space="preserve">。 </w:t>
      </w:r>
    </w:p>
    <w:p w14:paraId="19CD86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12.3.4 总价合同的计量 </w:t>
      </w:r>
    </w:p>
    <w:p w14:paraId="2E7272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关于总价合同计量的约定：</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066ACD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12.3.5 总价合同采用支付分解表计量支付的，是否适用第 12.3.4 项〔总价合同的计量〕约定进行计量：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14C23F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12.3.6 其他价格形式合同的计量其他价格形式的计量方式和程序：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1CBACE2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12.4 工程进度款支付</w:t>
      </w:r>
    </w:p>
    <w:p w14:paraId="250F7388">
      <w:pPr>
        <w:spacing w:line="360" w:lineRule="auto"/>
        <w:ind w:firstLine="480" w:firstLineChars="200"/>
        <w:rPr>
          <w:rFonts w:hint="eastAsia" w:ascii="仿宋" w:hAnsi="仿宋" w:eastAsia="仿宋" w:cs="仿宋"/>
          <w:color w:val="auto"/>
          <w:sz w:val="24"/>
        </w:rPr>
      </w:pPr>
      <w:bookmarkStart w:id="437" w:name="_Toc297048397"/>
      <w:bookmarkStart w:id="438" w:name="_Toc300935006"/>
      <w:bookmarkStart w:id="439" w:name="_Toc296347210"/>
      <w:bookmarkStart w:id="440" w:name="_Toc296891251"/>
      <w:bookmarkStart w:id="441" w:name="_Toc296503211"/>
      <w:bookmarkStart w:id="442" w:name="_Toc297216215"/>
      <w:bookmarkStart w:id="443" w:name="_Toc292559416"/>
      <w:bookmarkStart w:id="444" w:name="_Toc297120511"/>
      <w:bookmarkStart w:id="445" w:name="_Toc296891039"/>
      <w:bookmarkStart w:id="446" w:name="_Toc296346712"/>
      <w:bookmarkStart w:id="447" w:name="_Toc296944550"/>
      <w:bookmarkStart w:id="448" w:name="_Toc303539163"/>
      <w:bookmarkStart w:id="449" w:name="_Toc292559921"/>
      <w:bookmarkStart w:id="450" w:name="_Toc297123556"/>
      <w:r>
        <w:rPr>
          <w:rFonts w:hint="eastAsia" w:ascii="仿宋" w:hAnsi="仿宋" w:eastAsia="仿宋" w:cs="仿宋"/>
          <w:color w:val="auto"/>
          <w:sz w:val="24"/>
        </w:rPr>
        <w:t>12.4.1 付款周期</w:t>
      </w:r>
    </w:p>
    <w:p w14:paraId="2C043E4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关于付款周期的约定：</w:t>
      </w:r>
      <w:r>
        <w:rPr>
          <w:rFonts w:hint="eastAsia" w:ascii="仿宋" w:hAnsi="仿宋" w:eastAsia="仿宋" w:cs="仿宋"/>
          <w:color w:val="auto"/>
          <w:sz w:val="24"/>
          <w:lang w:val="en-US" w:eastAsia="zh-CN"/>
        </w:rPr>
        <w:t>关于付款周期的约定：</w:t>
      </w:r>
    </w:p>
    <w:p w14:paraId="1FD35C84">
      <w:pPr>
        <w:numPr>
          <w:ilvl w:val="0"/>
          <w:numId w:val="2"/>
        </w:num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工程进度款每月按实际完成工程量的80%付款，工程竣工并审计结果确认后，工程款支付至结算总价的97%，剩余3%的结算款待工程质量保质期满一年后无息返还剩余的质保金。</w:t>
      </w:r>
    </w:p>
    <w:p w14:paraId="23ED04C8">
      <w:pPr>
        <w:numPr>
          <w:ilvl w:val="0"/>
          <w:numId w:val="2"/>
        </w:num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承包人同意发包人以银行转账的方式支付工程款，承包人指定收款银行账户信息以本合同协议书部分签章处注明的账户信息为准</w:t>
      </w:r>
      <w:r>
        <w:rPr>
          <w:rFonts w:hint="eastAsia" w:ascii="仿宋" w:hAnsi="仿宋" w:eastAsia="仿宋" w:cs="仿宋"/>
          <w:color w:val="auto"/>
          <w:sz w:val="24"/>
          <w:u w:val="none"/>
          <w:lang w:val="en-US" w:eastAsia="zh-CN"/>
        </w:rPr>
        <w:t>。</w:t>
      </w:r>
    </w:p>
    <w:p w14:paraId="1501D84B">
      <w:pPr>
        <w:numPr>
          <w:ilvl w:val="0"/>
          <w:numId w:val="2"/>
        </w:num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u w:val="single"/>
          <w:lang w:val="en-US" w:eastAsia="zh-CN"/>
        </w:rPr>
        <w:t>承包人要求发包人付款前，应向发包人提供与待付款金额等额的正式增值税专用发票，否则发包人有权迟延付款且无需承担任何责任，同时不免除承包人所应履行的合同义务。承包人应当对其开具发票的合法性、合规性负责，如果因为承包人开具发票的合法性、合规性而导致发包人无法税前扣除或遭受其他损失的，承包人应承担赔偿责任，且发包人有权要求承包人限期重新开具合法有效的发票</w:t>
      </w:r>
      <w:r>
        <w:rPr>
          <w:rFonts w:hint="eastAsia" w:ascii="仿宋" w:hAnsi="仿宋" w:eastAsia="仿宋" w:cs="仿宋"/>
          <w:color w:val="auto"/>
          <w:sz w:val="24"/>
          <w:u w:val="none"/>
          <w:lang w:val="en-US" w:eastAsia="zh-CN"/>
        </w:rPr>
        <w:t>。</w:t>
      </w:r>
    </w:p>
    <w:p w14:paraId="33D27B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12.4.2 进度付款申请单的编制 </w:t>
      </w:r>
    </w:p>
    <w:p w14:paraId="5B579D8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关于进度付款申请单编制的约定：</w:t>
      </w:r>
      <w:r>
        <w:rPr>
          <w:rFonts w:hint="eastAsia" w:ascii="仿宋" w:hAnsi="仿宋" w:eastAsia="仿宋" w:cs="仿宋"/>
          <w:color w:val="auto"/>
          <w:sz w:val="24"/>
          <w:u w:val="single"/>
          <w:lang w:val="en-US" w:eastAsia="zh-CN"/>
        </w:rPr>
        <w:t>工程量完成达到付款约定条件时提出付款申请，按照发包人要求的格式编制，并附已完成工程量报表和有关资料</w:t>
      </w:r>
      <w:r>
        <w:rPr>
          <w:rFonts w:hint="eastAsia" w:ascii="仿宋" w:hAnsi="仿宋" w:eastAsia="仿宋" w:cs="仿宋"/>
          <w:color w:val="auto"/>
          <w:sz w:val="24"/>
          <w:u w:val="none"/>
          <w:lang w:val="en-US" w:eastAsia="zh-CN"/>
        </w:rPr>
        <w:t>。</w:t>
      </w:r>
    </w:p>
    <w:p w14:paraId="0784738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12.4.3 进度付款申请单的提交 </w:t>
      </w:r>
    </w:p>
    <w:p w14:paraId="73B297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（1）单价合同进度付款申请单提交的约定：</w:t>
      </w:r>
      <w:r>
        <w:rPr>
          <w:rFonts w:hint="eastAsia" w:ascii="仿宋" w:hAnsi="仿宋" w:eastAsia="仿宋" w:cs="仿宋"/>
          <w:color w:val="auto"/>
          <w:sz w:val="24"/>
          <w:u w:val="single"/>
          <w:lang w:val="en-US" w:eastAsia="zh-CN"/>
        </w:rPr>
        <w:t>按专用条款第 12.3.3 项执行</w:t>
      </w:r>
      <w:r>
        <w:rPr>
          <w:rFonts w:hint="eastAsia" w:ascii="仿宋" w:hAnsi="仿宋" w:eastAsia="仿宋" w:cs="仿宋"/>
          <w:color w:val="auto"/>
          <w:sz w:val="24"/>
          <w:lang w:val="en-US" w:eastAsia="zh-CN"/>
        </w:rPr>
        <w:t xml:space="preserve">。 </w:t>
      </w:r>
    </w:p>
    <w:p w14:paraId="007305ED">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（2）总价合同进度付款申请单提交的约定：</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 xml:space="preserve">。 </w:t>
      </w:r>
    </w:p>
    <w:p w14:paraId="0CA5939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（3）其他价格形式合同进度付款申请单提交的约定：</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 xml:space="preserve">。 </w:t>
      </w:r>
    </w:p>
    <w:p w14:paraId="52D7266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12.4.4 进度款审核和支付 </w:t>
      </w:r>
    </w:p>
    <w:p w14:paraId="1F6C9C97">
      <w:pPr>
        <w:spacing w:line="360" w:lineRule="auto"/>
        <w:ind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lang w:val="en-US" w:eastAsia="zh-CN"/>
        </w:rPr>
        <w:t>（1）</w:t>
      </w:r>
      <w:r>
        <w:rPr>
          <w:rFonts w:hint="eastAsia" w:ascii="仿宋" w:hAnsi="仿宋" w:eastAsia="仿宋" w:cs="仿宋"/>
          <w:color w:val="auto"/>
          <w:sz w:val="24"/>
          <w:u w:val="none"/>
          <w:lang w:val="en-US" w:eastAsia="zh-CN"/>
        </w:rPr>
        <w:t>监理人审查并报送发包人的期限：</w:t>
      </w:r>
      <w:r>
        <w:rPr>
          <w:rFonts w:hint="eastAsia" w:ascii="仿宋" w:hAnsi="仿宋" w:eastAsia="仿宋" w:cs="仿宋"/>
          <w:color w:val="auto"/>
          <w:sz w:val="24"/>
          <w:u w:val="single"/>
          <w:lang w:val="en-US" w:eastAsia="zh-CN"/>
        </w:rPr>
        <w:t>收到进度付款申请单后 14 天内</w:t>
      </w:r>
      <w:r>
        <w:rPr>
          <w:rFonts w:hint="eastAsia" w:ascii="仿宋" w:hAnsi="仿宋" w:eastAsia="仿宋" w:cs="仿宋"/>
          <w:color w:val="auto"/>
          <w:sz w:val="24"/>
          <w:u w:val="none"/>
          <w:lang w:val="en-US" w:eastAsia="zh-CN"/>
        </w:rPr>
        <w:t>。</w:t>
      </w:r>
    </w:p>
    <w:p w14:paraId="645D342A">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none"/>
          <w:lang w:val="en-US" w:eastAsia="zh-CN"/>
        </w:rPr>
        <w:t>发包人完成审批并签发进度款支付证书的期限：</w:t>
      </w:r>
      <w:r>
        <w:rPr>
          <w:rFonts w:hint="eastAsia" w:ascii="仿宋" w:hAnsi="仿宋" w:eastAsia="仿宋" w:cs="仿宋"/>
          <w:color w:val="auto"/>
          <w:sz w:val="24"/>
          <w:u w:val="single"/>
          <w:lang w:val="en-US" w:eastAsia="zh-CN"/>
        </w:rPr>
        <w:t>收到监理人确认的进度付款申请单后 14 天内</w:t>
      </w:r>
      <w:r>
        <w:rPr>
          <w:rFonts w:hint="eastAsia" w:ascii="仿宋" w:hAnsi="仿宋" w:eastAsia="仿宋" w:cs="仿宋"/>
          <w:color w:val="auto"/>
          <w:sz w:val="24"/>
          <w:u w:val="none"/>
          <w:lang w:val="en-US" w:eastAsia="zh-CN"/>
        </w:rPr>
        <w:t xml:space="preserve">。 </w:t>
      </w:r>
    </w:p>
    <w:p w14:paraId="2B9DA81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（2）发包人支付进度款的期限：</w:t>
      </w:r>
      <w:r>
        <w:rPr>
          <w:rFonts w:hint="eastAsia" w:ascii="仿宋" w:hAnsi="仿宋" w:eastAsia="仿宋" w:cs="仿宋"/>
          <w:color w:val="auto"/>
          <w:sz w:val="24"/>
          <w:u w:val="single"/>
          <w:lang w:val="en-US" w:eastAsia="zh-CN"/>
        </w:rPr>
        <w:t>签发进度款支付证书后 14 天内</w:t>
      </w:r>
      <w:r>
        <w:rPr>
          <w:rFonts w:hint="eastAsia" w:ascii="仿宋" w:hAnsi="仿宋" w:eastAsia="仿宋" w:cs="仿宋"/>
          <w:color w:val="auto"/>
          <w:sz w:val="24"/>
          <w:u w:val="none"/>
          <w:lang w:val="en-US" w:eastAsia="zh-CN"/>
        </w:rPr>
        <w:t xml:space="preserve">。 </w:t>
      </w:r>
    </w:p>
    <w:p w14:paraId="5ACD66A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发包人逾期支付进度款的违约金的计算方式：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rPr>
        <w:t>。</w:t>
      </w:r>
    </w:p>
    <w:p w14:paraId="5CDA4A2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12.4.2 进度付款申请单的编制</w:t>
      </w:r>
    </w:p>
    <w:p w14:paraId="552B26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关于进度付款申请单编制的约定：</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207CE07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hint="eastAsia" w:ascii="仿宋" w:hAnsi="仿宋" w:eastAsia="仿宋" w:cs="仿宋"/>
          <w:color w:val="auto"/>
          <w:sz w:val="24"/>
        </w:rPr>
        <w:t>2.4.3 进度付款申请单的提交</w:t>
      </w:r>
    </w:p>
    <w:p w14:paraId="52EAE87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（1）单价合同进度付款申请单提交的约定：</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44601B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（2）总价合同进度付款申请单提交的约定：</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43FEB70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（3）其他价格形式合同进度付款申请单提交的约定：</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011CED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12.4.4 进度款审核和支付</w:t>
      </w:r>
    </w:p>
    <w:p w14:paraId="1E59A72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（1）监理人审查并报送发包人的期限：</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0CBC89B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发包人完成审批并签发进度款支付证书的期限：</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772C0E5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（2）发包人支付进度款的期限：</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p w14:paraId="45005A0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发包人逾期支付进度款的违约金的计算方式：</w:t>
      </w:r>
      <w:r>
        <w:rPr>
          <w:rFonts w:hint="eastAsia" w:ascii="仿宋" w:hAnsi="仿宋" w:eastAsia="仿宋" w:cs="仿宋"/>
          <w:color w:val="auto"/>
          <w:sz w:val="24"/>
          <w:u w:val="single"/>
        </w:rPr>
        <w:t>执行通用合同条款</w:t>
      </w:r>
      <w:r>
        <w:rPr>
          <w:rFonts w:hint="eastAsia" w:ascii="仿宋" w:hAnsi="仿宋" w:eastAsia="仿宋" w:cs="仿宋"/>
          <w:color w:val="auto"/>
          <w:sz w:val="24"/>
        </w:rPr>
        <w:t>。</w:t>
      </w:r>
    </w:p>
    <w:bookmarkEnd w:id="272"/>
    <w:p w14:paraId="0B56C3E5">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13.2 竣工验收 </w:t>
      </w:r>
    </w:p>
    <w:p w14:paraId="01F0857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13.2.2 竣工验收程序 </w:t>
      </w:r>
    </w:p>
    <w:p w14:paraId="58ADD79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发包人不按照本项约定组织竣工验收、颁发工程接收证书的违约金的计算方法：</w:t>
      </w:r>
      <w:r>
        <w:rPr>
          <w:rFonts w:hint="eastAsia" w:ascii="仿宋" w:hAnsi="仿宋" w:eastAsia="仿宋" w:cs="仿宋"/>
          <w:color w:val="auto"/>
          <w:sz w:val="24"/>
          <w:u w:val="single"/>
          <w:lang w:val="en-US" w:eastAsia="zh-CN"/>
        </w:rPr>
        <w:t>执行通用条款</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B87115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13.2.5 移交、接收全部与部分工程 </w:t>
      </w:r>
    </w:p>
    <w:p w14:paraId="695FC61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承包人向发包人移交工程的期限：</w:t>
      </w:r>
      <w:r>
        <w:rPr>
          <w:rFonts w:hint="eastAsia" w:ascii="仿宋" w:hAnsi="仿宋" w:eastAsia="仿宋" w:cs="仿宋"/>
          <w:color w:val="auto"/>
          <w:sz w:val="24"/>
          <w:u w:val="single"/>
          <w:lang w:val="en-US" w:eastAsia="zh-CN"/>
        </w:rPr>
        <w:t>发工程接收证书后 7 天内，移交给发包人或发包人指定的单位，发包人按国家规定接收工程</w:t>
      </w:r>
      <w:r>
        <w:rPr>
          <w:rFonts w:hint="eastAsia" w:ascii="仿宋" w:hAnsi="仿宋" w:eastAsia="仿宋" w:cs="仿宋"/>
          <w:color w:val="auto"/>
          <w:sz w:val="24"/>
          <w:u w:val="none"/>
          <w:lang w:val="en-US" w:eastAsia="zh-CN"/>
        </w:rPr>
        <w:t xml:space="preserve">。 </w:t>
      </w:r>
    </w:p>
    <w:p w14:paraId="1F0E8745">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发包人未按本合同约定接收全部或部分工程的，违约金的计算方法为：</w:t>
      </w:r>
      <w:r>
        <w:rPr>
          <w:rFonts w:hint="eastAsia" w:ascii="仿宋" w:hAnsi="仿宋" w:eastAsia="仿宋" w:cs="仿宋"/>
          <w:color w:val="auto"/>
          <w:sz w:val="24"/>
          <w:u w:val="single"/>
          <w:lang w:val="en-US" w:eastAsia="zh-CN"/>
        </w:rPr>
        <w:t>执行通用条款</w:t>
      </w:r>
      <w:r>
        <w:rPr>
          <w:rFonts w:hint="eastAsia" w:ascii="仿宋" w:hAnsi="仿宋" w:eastAsia="仿宋" w:cs="仿宋"/>
          <w:color w:val="auto"/>
          <w:sz w:val="24"/>
          <w:u w:val="none"/>
          <w:lang w:val="en-US" w:eastAsia="zh-CN"/>
        </w:rPr>
        <w:t>。</w:t>
      </w:r>
    </w:p>
    <w:p w14:paraId="74FEA5B7">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承包人未按时移交工程的，违约金的计算方法为：</w:t>
      </w:r>
      <w:r>
        <w:rPr>
          <w:rFonts w:hint="eastAsia" w:ascii="仿宋" w:hAnsi="仿宋" w:eastAsia="仿宋" w:cs="仿宋"/>
          <w:color w:val="auto"/>
          <w:sz w:val="24"/>
          <w:u w:val="single"/>
          <w:lang w:val="en-US" w:eastAsia="zh-CN"/>
        </w:rPr>
        <w:t xml:space="preserve">每逾期一天按签约合同价的 1% 计算违约金。 </w:t>
      </w:r>
    </w:p>
    <w:p w14:paraId="5AC18FF3">
      <w:pPr>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br w:type="page"/>
      </w:r>
    </w:p>
    <w:p w14:paraId="7A9EB85A">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 竣工结算 </w:t>
      </w:r>
    </w:p>
    <w:p w14:paraId="16B3174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14.1 竣工结算申请 </w:t>
      </w:r>
    </w:p>
    <w:p w14:paraId="5F7F9C7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承包人提交竣工结算申请单的期限：</w:t>
      </w:r>
      <w:r>
        <w:rPr>
          <w:rFonts w:hint="eastAsia" w:ascii="仿宋" w:hAnsi="仿宋" w:eastAsia="仿宋" w:cs="仿宋"/>
          <w:color w:val="auto"/>
          <w:sz w:val="24"/>
          <w:u w:val="single"/>
          <w:lang w:val="en-US" w:eastAsia="zh-CN"/>
        </w:rPr>
        <w:t>承包人在工程验收合格后 30 日内将竣工结算报监理人进行初审，监理人初审后送发包人审核</w:t>
      </w:r>
      <w:r>
        <w:rPr>
          <w:rFonts w:hint="eastAsia" w:ascii="仿宋" w:hAnsi="仿宋" w:eastAsia="仿宋" w:cs="仿宋"/>
          <w:color w:val="auto"/>
          <w:sz w:val="24"/>
          <w:u w:val="none"/>
          <w:lang w:val="en-US" w:eastAsia="zh-CN"/>
        </w:rPr>
        <w:t xml:space="preserve">。 </w:t>
      </w:r>
    </w:p>
    <w:p w14:paraId="53C786D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竣工结算申请单应包括的内容：</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 xml:space="preserve">。 </w:t>
      </w:r>
    </w:p>
    <w:p w14:paraId="237A6154">
      <w:pPr>
        <w:spacing w:line="360" w:lineRule="auto"/>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en-US" w:eastAsia="zh-CN"/>
        </w:rPr>
        <w:t>14.2 竣工结算审核</w:t>
      </w:r>
      <w:r>
        <w:rPr>
          <w:rFonts w:hint="eastAsia" w:ascii="仿宋" w:hAnsi="仿宋" w:eastAsia="仿宋" w:cs="仿宋"/>
          <w:color w:val="auto"/>
          <w:sz w:val="24"/>
          <w:lang w:val="en-US" w:eastAsia="zh-CN"/>
        </w:rPr>
        <w:t xml:space="preserve"> </w:t>
      </w:r>
    </w:p>
    <w:p w14:paraId="3F924E0E">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发包人审批竣工付款申请单的期限：</w:t>
      </w:r>
      <w:r>
        <w:rPr>
          <w:rFonts w:hint="eastAsia" w:ascii="仿宋" w:hAnsi="仿宋" w:eastAsia="仿宋" w:cs="仿宋"/>
          <w:color w:val="auto"/>
          <w:sz w:val="24"/>
          <w:u w:val="single"/>
          <w:lang w:val="en-US" w:eastAsia="zh-CN"/>
        </w:rPr>
        <w:t>发包人应在收到竣工结算申请单、竣工结算报告、监理人竣工结算初审报告和完整的竣工结算资料后 60 天内完成初步审查，发包人对竣工结算申请单、竣工结算报告和竣工结算资料有异议的，有权要求承包人进行修正和提供补充资料，承包人应提交修正补充后的竣工结算申请文件资料。本工程结算造价以咸阳市政府授权的政府职能部门最终审定造价为准。</w:t>
      </w:r>
    </w:p>
    <w:p w14:paraId="5CED1D9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发包人完成竣工付款的期限：</w:t>
      </w:r>
      <w:r>
        <w:rPr>
          <w:rFonts w:hint="eastAsia" w:ascii="仿宋" w:hAnsi="仿宋" w:eastAsia="仿宋" w:cs="仿宋"/>
          <w:color w:val="auto"/>
          <w:sz w:val="24"/>
          <w:u w:val="single"/>
          <w:lang w:val="en-US" w:eastAsia="zh-CN"/>
        </w:rPr>
        <w:t xml:space="preserve">        /      </w:t>
      </w:r>
    </w:p>
    <w:p w14:paraId="535798B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关于竣工付款证书异议部分复核的方式和程序：</w:t>
      </w:r>
      <w:r>
        <w:rPr>
          <w:rFonts w:hint="eastAsia" w:ascii="仿宋" w:hAnsi="仿宋" w:eastAsia="仿宋" w:cs="仿宋"/>
          <w:color w:val="auto"/>
          <w:sz w:val="24"/>
          <w:u w:val="single"/>
          <w:lang w:val="en-US" w:eastAsia="zh-CN"/>
        </w:rPr>
        <w:t>执行通用合同条款</w:t>
      </w:r>
      <w:r>
        <w:rPr>
          <w:rFonts w:hint="eastAsia" w:ascii="仿宋" w:hAnsi="仿宋" w:eastAsia="仿宋" w:cs="仿宋"/>
          <w:color w:val="auto"/>
          <w:sz w:val="24"/>
          <w:u w:val="none"/>
          <w:lang w:val="en-US" w:eastAsia="zh-CN"/>
        </w:rPr>
        <w:t xml:space="preserve">。 </w:t>
      </w:r>
    </w:p>
    <w:p w14:paraId="75080778">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14.4 最终结清 </w:t>
      </w:r>
    </w:p>
    <w:p w14:paraId="03F6E0A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14.4.1 最终结清申请单 </w:t>
      </w:r>
    </w:p>
    <w:p w14:paraId="2FC6C3C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承包人提交最终结清申请单的份数：</w:t>
      </w:r>
      <w:r>
        <w:rPr>
          <w:rFonts w:hint="eastAsia" w:ascii="仿宋" w:hAnsi="仿宋" w:eastAsia="仿宋" w:cs="仿宋"/>
          <w:color w:val="auto"/>
          <w:sz w:val="24"/>
          <w:u w:val="single"/>
          <w:lang w:val="en-US" w:eastAsia="zh-CN"/>
        </w:rPr>
        <w:t>肆份</w:t>
      </w:r>
      <w:r>
        <w:rPr>
          <w:rFonts w:hint="eastAsia" w:ascii="仿宋" w:hAnsi="仿宋" w:eastAsia="仿宋" w:cs="仿宋"/>
          <w:color w:val="auto"/>
          <w:sz w:val="24"/>
          <w:u w:val="none"/>
          <w:lang w:val="en-US" w:eastAsia="zh-CN"/>
        </w:rPr>
        <w:t xml:space="preserve">。 </w:t>
      </w:r>
    </w:p>
    <w:p w14:paraId="5022B6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lang w:val="en-US" w:eastAsia="zh-CN"/>
        </w:rPr>
        <w:t>承包人提交最终结算申请单的期限：</w:t>
      </w:r>
      <w:r>
        <w:rPr>
          <w:rFonts w:hint="eastAsia" w:ascii="仿宋" w:hAnsi="仿宋" w:eastAsia="仿宋" w:cs="仿宋"/>
          <w:color w:val="auto"/>
          <w:sz w:val="24"/>
          <w:highlight w:val="none"/>
          <w:u w:val="single"/>
          <w:lang w:val="en-US" w:eastAsia="zh-CN"/>
        </w:rPr>
        <w:t>缺陷责任期满且无质量问题后7日内</w:t>
      </w:r>
      <w:r>
        <w:rPr>
          <w:rFonts w:hint="eastAsia" w:ascii="仿宋" w:hAnsi="仿宋" w:eastAsia="仿宋" w:cs="仿宋"/>
          <w:color w:val="auto"/>
          <w:sz w:val="24"/>
          <w:highlight w:val="none"/>
          <w:u w:val="none"/>
          <w:lang w:val="en-US" w:eastAsia="zh-CN"/>
        </w:rPr>
        <w:t xml:space="preserve">。 </w:t>
      </w:r>
    </w:p>
    <w:p w14:paraId="687C5F33">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 xml:space="preserve">14.4.2 最终结清证书和支付 </w:t>
      </w:r>
    </w:p>
    <w:p w14:paraId="7E9DF7EC">
      <w:pPr>
        <w:spacing w:line="360" w:lineRule="auto"/>
        <w:ind w:firstLine="480" w:firstLineChars="200"/>
        <w:rPr>
          <w:rFonts w:hint="eastAsia" w:ascii="仿宋" w:hAnsi="仿宋" w:eastAsia="仿宋" w:cs="仿宋"/>
          <w:color w:val="auto"/>
          <w:sz w:val="24"/>
          <w:lang w:val="en-US"/>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发包人完成最终结清申请单的审批并颁发最终结清证书的期限：收到最终结算申请单后30日内</w:t>
      </w:r>
      <w:r>
        <w:rPr>
          <w:rFonts w:hint="eastAsia" w:ascii="仿宋" w:hAnsi="仿宋" w:eastAsia="仿宋" w:cs="仿宋"/>
          <w:color w:val="auto"/>
          <w:sz w:val="24"/>
          <w:u w:val="none"/>
          <w:lang w:val="en-US" w:eastAsia="zh-CN"/>
        </w:rPr>
        <w:t>。</w:t>
      </w:r>
    </w:p>
    <w:p w14:paraId="1A80196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（2）发包人完成支付的期限：</w:t>
      </w:r>
      <w:r>
        <w:rPr>
          <w:rFonts w:hint="eastAsia" w:ascii="仿宋" w:hAnsi="仿宋" w:eastAsia="仿宋" w:cs="仿宋"/>
          <w:color w:val="auto"/>
          <w:sz w:val="24"/>
          <w:u w:val="single"/>
          <w:lang w:val="en-US" w:eastAsia="zh-CN"/>
        </w:rPr>
        <w:t>按合同专用条款第 12.4.1 项规定的支付条件执行</w:t>
      </w:r>
      <w:r>
        <w:rPr>
          <w:rFonts w:hint="eastAsia" w:ascii="仿宋" w:hAnsi="仿宋" w:eastAsia="仿宋" w:cs="仿宋"/>
          <w:color w:val="auto"/>
          <w:sz w:val="24"/>
          <w:u w:val="none"/>
          <w:lang w:val="en-US" w:eastAsia="zh-CN"/>
        </w:rPr>
        <w:t xml:space="preserve">。 </w:t>
      </w:r>
    </w:p>
    <w:p w14:paraId="6788B434">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 缺陷责任期与保修 </w:t>
      </w:r>
    </w:p>
    <w:p w14:paraId="7EA34D7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15.2 缺陷责任期 </w:t>
      </w:r>
    </w:p>
    <w:p w14:paraId="212315E1">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缺陷责任期的具体期限：</w:t>
      </w:r>
      <w:r>
        <w:rPr>
          <w:rFonts w:hint="eastAsia" w:ascii="仿宋" w:hAnsi="仿宋" w:eastAsia="仿宋" w:cs="仿宋"/>
          <w:color w:val="auto"/>
          <w:sz w:val="24"/>
          <w:u w:val="single"/>
          <w:lang w:val="en-US" w:eastAsia="zh-CN"/>
        </w:rPr>
        <w:t>自竣工验收合格之日起满 24 个月</w:t>
      </w:r>
      <w:r>
        <w:rPr>
          <w:rFonts w:hint="eastAsia" w:ascii="仿宋" w:hAnsi="仿宋" w:eastAsia="仿宋" w:cs="仿宋"/>
          <w:color w:val="auto"/>
          <w:sz w:val="24"/>
          <w:u w:val="none"/>
          <w:lang w:val="en-US" w:eastAsia="zh-CN"/>
        </w:rPr>
        <w:t xml:space="preserve">。 </w:t>
      </w:r>
    </w:p>
    <w:p w14:paraId="3BE54C37">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15.3 质量保证金 </w:t>
      </w:r>
    </w:p>
    <w:p w14:paraId="2BFD068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关于是否扣留质量保证金的约定：</w:t>
      </w:r>
      <w:r>
        <w:rPr>
          <w:rFonts w:hint="eastAsia" w:ascii="仿宋" w:hAnsi="仿宋" w:eastAsia="仿宋" w:cs="仿宋"/>
          <w:color w:val="auto"/>
          <w:sz w:val="24"/>
          <w:u w:val="single"/>
          <w:lang w:val="en-US" w:eastAsia="zh-CN"/>
        </w:rPr>
        <w:t xml:space="preserve"> 扣留 </w:t>
      </w:r>
      <w:r>
        <w:rPr>
          <w:rFonts w:hint="eastAsia" w:ascii="仿宋" w:hAnsi="仿宋" w:eastAsia="仿宋" w:cs="仿宋"/>
          <w:color w:val="auto"/>
          <w:sz w:val="24"/>
          <w:lang w:val="en-US" w:eastAsia="zh-CN"/>
        </w:rPr>
        <w:t xml:space="preserve">在工程项目竣工前，承包人按专用合同条款第 3.7 条提供履约担保的，发包人不得同时预留工程质量保证金。 </w:t>
      </w:r>
    </w:p>
    <w:p w14:paraId="1468823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15.3.1 承包人提供质量保证金的方式 </w:t>
      </w:r>
    </w:p>
    <w:p w14:paraId="666C911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质量保证金采用以下第</w:t>
      </w:r>
      <w:r>
        <w:rPr>
          <w:rFonts w:hint="eastAsia" w:ascii="仿宋" w:hAnsi="仿宋" w:eastAsia="仿宋" w:cs="仿宋"/>
          <w:color w:val="auto"/>
          <w:sz w:val="24"/>
          <w:u w:val="single"/>
          <w:lang w:val="en-US" w:eastAsia="zh-CN"/>
        </w:rPr>
        <w:t>（2）</w:t>
      </w:r>
      <w:r>
        <w:rPr>
          <w:rFonts w:hint="eastAsia" w:ascii="仿宋" w:hAnsi="仿宋" w:eastAsia="仿宋" w:cs="仿宋"/>
          <w:color w:val="auto"/>
          <w:sz w:val="24"/>
          <w:lang w:val="en-US" w:eastAsia="zh-CN"/>
        </w:rPr>
        <w:t>种方式：</w:t>
      </w:r>
    </w:p>
    <w:p w14:paraId="404BD83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（1）质量保证金保函，保证金额为：</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w:t>
      </w:r>
    </w:p>
    <w:p w14:paraId="5A1766E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 xml:space="preserve">  3  </w:t>
      </w:r>
      <w:r>
        <w:rPr>
          <w:rFonts w:hint="eastAsia" w:ascii="仿宋" w:hAnsi="仿宋" w:eastAsia="仿宋" w:cs="仿宋"/>
          <w:color w:val="auto"/>
          <w:sz w:val="24"/>
          <w:lang w:val="en-US" w:eastAsia="zh-CN"/>
        </w:rPr>
        <w:t>%的工程款；</w:t>
      </w:r>
    </w:p>
    <w:p w14:paraId="3C2B7C8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（3）其他方式:</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w:t>
      </w:r>
    </w:p>
    <w:p w14:paraId="4EDEB21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15.3.2 质量保证金的扣留</w:t>
      </w:r>
    </w:p>
    <w:p w14:paraId="7AA5C96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质量保证金的扣留采取以下第</w:t>
      </w:r>
      <w:r>
        <w:rPr>
          <w:rFonts w:hint="eastAsia" w:ascii="仿宋" w:hAnsi="仿宋" w:eastAsia="仿宋" w:cs="仿宋"/>
          <w:color w:val="auto"/>
          <w:sz w:val="24"/>
          <w:u w:val="single"/>
          <w:lang w:val="en-US" w:eastAsia="zh-CN"/>
        </w:rPr>
        <w:t xml:space="preserve"> （3） </w:t>
      </w:r>
      <w:r>
        <w:rPr>
          <w:rFonts w:hint="eastAsia" w:ascii="仿宋" w:hAnsi="仿宋" w:eastAsia="仿宋" w:cs="仿宋"/>
          <w:color w:val="auto"/>
          <w:sz w:val="24"/>
          <w:lang w:val="en-US" w:eastAsia="zh-CN"/>
        </w:rPr>
        <w:t>种方式：</w:t>
      </w:r>
    </w:p>
    <w:p w14:paraId="79DE510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（1）在支付工程进度款时逐次扣留，在此情形下，质量保证金的计算基数不包括预付款的支付、扣回以及价格调整的金额；</w:t>
      </w:r>
    </w:p>
    <w:p w14:paraId="386B4CF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（2）工程竣工结算时一次性扣留质量保证金；</w:t>
      </w:r>
    </w:p>
    <w:p w14:paraId="6D444444">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（3）其他扣留方式:</w:t>
      </w:r>
      <w:r>
        <w:rPr>
          <w:rFonts w:hint="eastAsia" w:ascii="仿宋" w:hAnsi="仿宋" w:eastAsia="仿宋" w:cs="仿宋"/>
          <w:color w:val="auto"/>
          <w:sz w:val="24"/>
          <w:u w:val="single"/>
          <w:lang w:val="en-US" w:eastAsia="zh-CN"/>
        </w:rPr>
        <w:t xml:space="preserve"> 工程质量保证金在工程竣工验收合格后一年，无质量保修缺陷一次性返还</w:t>
      </w:r>
      <w:r>
        <w:rPr>
          <w:rFonts w:hint="eastAsia" w:ascii="仿宋" w:hAnsi="仿宋" w:eastAsia="仿宋" w:cs="仿宋"/>
          <w:color w:val="auto"/>
          <w:sz w:val="24"/>
          <w:lang w:val="en-US" w:eastAsia="zh-CN"/>
        </w:rPr>
        <w:t>。</w:t>
      </w:r>
    </w:p>
    <w:p w14:paraId="2DAAAED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关于质量保证金的补充约定：</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 xml:space="preserve">。 </w:t>
      </w:r>
    </w:p>
    <w:p w14:paraId="0469C5D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15.4 保修 </w:t>
      </w:r>
    </w:p>
    <w:p w14:paraId="7A81FB3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15.4.1 保修责任 </w:t>
      </w:r>
    </w:p>
    <w:p w14:paraId="1E3CB16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工程保修期为：</w:t>
      </w:r>
      <w:r>
        <w:rPr>
          <w:rFonts w:hint="eastAsia" w:ascii="仿宋" w:hAnsi="仿宋" w:eastAsia="仿宋" w:cs="仿宋"/>
          <w:color w:val="auto"/>
          <w:sz w:val="24"/>
          <w:u w:val="single"/>
          <w:lang w:val="en-US" w:eastAsia="zh-CN"/>
        </w:rPr>
        <w:t>见工程质量保修书</w:t>
      </w:r>
      <w:r>
        <w:rPr>
          <w:rFonts w:hint="eastAsia" w:ascii="仿宋" w:hAnsi="仿宋" w:eastAsia="仿宋" w:cs="仿宋"/>
          <w:color w:val="auto"/>
          <w:sz w:val="24"/>
          <w:lang w:val="en-US" w:eastAsia="zh-CN"/>
        </w:rPr>
        <w:t xml:space="preserve">。 </w:t>
      </w:r>
    </w:p>
    <w:p w14:paraId="14A8D99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16. 违约 </w:t>
      </w:r>
    </w:p>
    <w:p w14:paraId="359B5B19">
      <w:pPr>
        <w:spacing w:line="360" w:lineRule="auto"/>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en-US" w:eastAsia="zh-CN"/>
        </w:rPr>
        <w:t>16.1 发包人违约</w:t>
      </w:r>
      <w:r>
        <w:rPr>
          <w:rFonts w:hint="eastAsia" w:ascii="仿宋" w:hAnsi="仿宋" w:eastAsia="仿宋" w:cs="仿宋"/>
          <w:color w:val="auto"/>
          <w:sz w:val="24"/>
          <w:lang w:val="en-US" w:eastAsia="zh-CN"/>
        </w:rPr>
        <w:t xml:space="preserve"> </w:t>
      </w:r>
    </w:p>
    <w:p w14:paraId="099A4A4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16.1.1 发包人违约的情形 </w:t>
      </w:r>
    </w:p>
    <w:p w14:paraId="42491E7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发包人违约的其他情形：</w:t>
      </w:r>
      <w:r>
        <w:rPr>
          <w:rFonts w:hint="eastAsia" w:ascii="仿宋" w:hAnsi="仿宋" w:eastAsia="仿宋" w:cs="仿宋"/>
          <w:color w:val="auto"/>
          <w:sz w:val="24"/>
          <w:u w:val="single"/>
          <w:lang w:val="en-US" w:eastAsia="zh-CN"/>
        </w:rPr>
        <w:t xml:space="preserve"> 无 </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533F6724">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16.1.2 发包人违约的责任 </w:t>
      </w:r>
    </w:p>
    <w:p w14:paraId="5757D0F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发包人违约责任的承担方式和计算方法： </w:t>
      </w:r>
    </w:p>
    <w:p w14:paraId="7709D82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（1）因发包人原因未能在计划开工日期前 7 天内下达开工通知的违约责任：</w:t>
      </w:r>
      <w:r>
        <w:rPr>
          <w:rFonts w:hint="eastAsia" w:ascii="仿宋" w:hAnsi="仿宋" w:eastAsia="仿宋" w:cs="仿宋"/>
          <w:color w:val="auto"/>
          <w:sz w:val="24"/>
          <w:u w:val="single"/>
          <w:lang w:val="en-US" w:eastAsia="zh-CN"/>
        </w:rPr>
        <w:t>因工程具有不确定性，双方约定，如出现未能如期下达开工通知的情形，发包人无须承担违约责任。</w:t>
      </w:r>
      <w:r>
        <w:rPr>
          <w:rFonts w:hint="eastAsia" w:ascii="仿宋" w:hAnsi="仿宋" w:eastAsia="仿宋" w:cs="仿宋"/>
          <w:color w:val="auto"/>
          <w:sz w:val="24"/>
          <w:lang w:val="en-US" w:eastAsia="zh-CN"/>
        </w:rPr>
        <w:t xml:space="preserve"> </w:t>
      </w:r>
    </w:p>
    <w:p w14:paraId="38CC350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（2）因发包人原因未能按合同约定支付合同价款的违约责任：</w:t>
      </w:r>
      <w:r>
        <w:rPr>
          <w:rFonts w:hint="eastAsia" w:ascii="仿宋" w:hAnsi="仿宋" w:eastAsia="仿宋" w:cs="仿宋"/>
          <w:color w:val="auto"/>
          <w:sz w:val="24"/>
          <w:u w:val="single"/>
          <w:lang w:val="en-US" w:eastAsia="zh-CN"/>
        </w:rPr>
        <w:t xml:space="preserve"> 承包人予以理解，不追究违约责任，并承诺不停工</w:t>
      </w:r>
      <w:r>
        <w:rPr>
          <w:rFonts w:hint="eastAsia" w:ascii="仿宋" w:hAnsi="仿宋" w:eastAsia="仿宋" w:cs="仿宋"/>
          <w:color w:val="auto"/>
          <w:sz w:val="24"/>
          <w:u w:val="none"/>
          <w:lang w:val="en-US" w:eastAsia="zh-CN"/>
        </w:rPr>
        <w:t>。</w:t>
      </w:r>
    </w:p>
    <w:p w14:paraId="3A57D7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（3）发包人违反第 10.1 款〔变更的范围〕第（2）项约定，自行实施被取消的工作或转由他人实施的违约责任：</w:t>
      </w:r>
      <w:r>
        <w:rPr>
          <w:rFonts w:hint="eastAsia" w:ascii="仿宋" w:hAnsi="仿宋" w:eastAsia="仿宋" w:cs="仿宋"/>
          <w:color w:val="auto"/>
          <w:sz w:val="24"/>
          <w:u w:val="single"/>
          <w:lang w:val="en-US" w:eastAsia="zh-CN"/>
        </w:rPr>
        <w:t xml:space="preserve"> 不承担违约责任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47AC4E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 xml:space="preserve">。 </w:t>
      </w:r>
    </w:p>
    <w:p w14:paraId="297BF298">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（5）因发包人违反合同约定造成暂停施工的违约责任：</w:t>
      </w:r>
      <w:r>
        <w:rPr>
          <w:rFonts w:hint="eastAsia" w:ascii="仿宋" w:hAnsi="仿宋" w:eastAsia="仿宋" w:cs="仿宋"/>
          <w:color w:val="auto"/>
          <w:sz w:val="24"/>
          <w:u w:val="single"/>
          <w:lang w:val="en-US" w:eastAsia="zh-CN"/>
        </w:rPr>
        <w:t xml:space="preserve"> 工期顺延，承包人应采取适当措施避免损失，不向发包人主张赔偿</w:t>
      </w:r>
      <w:r>
        <w:rPr>
          <w:rFonts w:hint="eastAsia" w:ascii="仿宋" w:hAnsi="仿宋" w:eastAsia="仿宋" w:cs="仿宋"/>
          <w:color w:val="auto"/>
          <w:sz w:val="24"/>
          <w:u w:val="none"/>
          <w:lang w:val="en-US" w:eastAsia="zh-CN"/>
        </w:rPr>
        <w:t xml:space="preserve">。 </w:t>
      </w:r>
    </w:p>
    <w:p w14:paraId="1595807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（6）发包人无正当理由没有在约定期限内发出复工指示，导致承包人无法复工的违约责任：</w:t>
      </w:r>
      <w:r>
        <w:rPr>
          <w:rFonts w:hint="eastAsia" w:ascii="仿宋" w:hAnsi="仿宋" w:eastAsia="仿宋" w:cs="仿宋"/>
          <w:color w:val="auto"/>
          <w:sz w:val="24"/>
          <w:u w:val="single"/>
          <w:lang w:val="en-US" w:eastAsia="zh-CN"/>
        </w:rPr>
        <w:t xml:space="preserve"> 因工程具有不确定性，双方约定，如发包人没有在约定期限内发出复 工指示，发包人无须承担违约责任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06E7881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（7）其他：</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58612F29">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16.2 承包人违约 </w:t>
      </w:r>
    </w:p>
    <w:p w14:paraId="2B955AC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16.2.1 承包人违约的情形 </w:t>
      </w:r>
    </w:p>
    <w:p w14:paraId="7541FE9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承包人违约的其他情形： </w:t>
      </w:r>
    </w:p>
    <w:p w14:paraId="4F0D3007">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如承包人未按照本专用条款约定的时间及事项办理完相关手续，则承包人承担违约责任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03EEBF1">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承包人如不能按照本专用条款约定及时完成发包人及工程师下达的工程变更指令，由承包人承担违约责任</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4637143F">
      <w:pPr>
        <w:numPr>
          <w:ilvl w:val="0"/>
          <w:numId w:val="3"/>
        </w:numPr>
        <w:spacing w:line="360" w:lineRule="auto"/>
        <w:ind w:left="0" w:leftChars="0" w:firstLine="480" w:firstLineChars="200"/>
        <w:rPr>
          <w:rFonts w:hint="eastAsia"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承包单位的项目经理部到位人员、投入劳动力、投入机械设备、投入周转材料等必须与投标施工组织设计所列相符，否则视为承包人违约</w:t>
      </w:r>
      <w:r>
        <w:rPr>
          <w:rFonts w:hint="eastAsia" w:ascii="仿宋" w:hAnsi="仿宋" w:eastAsia="仿宋" w:cs="仿宋"/>
          <w:color w:val="auto"/>
          <w:sz w:val="24"/>
          <w:u w:val="none"/>
          <w:lang w:val="en-US" w:eastAsia="zh-CN"/>
        </w:rPr>
        <w:t>；</w:t>
      </w:r>
    </w:p>
    <w:p w14:paraId="7ABA70CD">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如在本工程施工过程中，经发包人及工程师证实因承包人的资金问题，使工程不能如期且保质保量完成，应视为承包人违约</w:t>
      </w:r>
      <w:r>
        <w:rPr>
          <w:rFonts w:hint="eastAsia" w:ascii="仿宋" w:hAnsi="仿宋" w:eastAsia="仿宋" w:cs="仿宋"/>
          <w:color w:val="auto"/>
          <w:sz w:val="24"/>
          <w:u w:val="none"/>
          <w:lang w:val="en-US" w:eastAsia="zh-CN"/>
        </w:rPr>
        <w:t xml:space="preserve">； </w:t>
      </w:r>
    </w:p>
    <w:p w14:paraId="06EE3CA4">
      <w:pPr>
        <w:numPr>
          <w:ilvl w:val="0"/>
          <w:numId w:val="3"/>
        </w:numPr>
        <w:spacing w:line="360" w:lineRule="auto"/>
        <w:ind w:left="0" w:leftChars="0" w:firstLine="480" w:firstLineChars="200"/>
        <w:rPr>
          <w:rFonts w:hint="eastAsia" w:ascii="仿宋" w:hAnsi="仿宋" w:eastAsia="仿宋" w:cs="仿宋"/>
          <w:color w:val="auto"/>
          <w:sz w:val="24"/>
          <w:u w:val="single"/>
        </w:rPr>
      </w:pPr>
      <w:r>
        <w:rPr>
          <w:rFonts w:hint="eastAsia" w:ascii="仿宋" w:hAnsi="仿宋" w:eastAsia="仿宋" w:cs="仿宋"/>
          <w:color w:val="auto"/>
          <w:sz w:val="24"/>
          <w:u w:val="single"/>
          <w:lang w:val="en-US" w:eastAsia="zh-CN"/>
        </w:rPr>
        <w:t xml:space="preserve">履约期间，若出现农民工停工讨薪事件的，按照《咸政办发[2015]40 号》 </w:t>
      </w:r>
    </w:p>
    <w:p w14:paraId="5B067F6F">
      <w:pPr>
        <w:numPr>
          <w:ilvl w:val="0"/>
          <w:numId w:val="0"/>
        </w:numPr>
        <w:spacing w:line="360" w:lineRule="auto"/>
        <w:rPr>
          <w:rFonts w:hint="eastAsia" w:ascii="仿宋" w:hAnsi="仿宋" w:eastAsia="仿宋" w:cs="仿宋"/>
          <w:color w:val="auto"/>
          <w:sz w:val="24"/>
        </w:rPr>
      </w:pPr>
      <w:r>
        <w:rPr>
          <w:rFonts w:hint="eastAsia" w:ascii="仿宋" w:hAnsi="仿宋" w:eastAsia="仿宋" w:cs="仿宋"/>
          <w:color w:val="auto"/>
          <w:sz w:val="24"/>
          <w:u w:val="single"/>
          <w:lang w:val="en-US" w:eastAsia="zh-CN"/>
        </w:rPr>
        <w:t>执行</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2CFAFC5A">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承包人不得将本工程进行转包，也不得擅自将本工程进行分包，除非经发包人书面同意。否则承包人视为违约</w:t>
      </w:r>
      <w:r>
        <w:rPr>
          <w:rFonts w:hint="eastAsia" w:ascii="仿宋" w:hAnsi="仿宋" w:eastAsia="仿宋" w:cs="仿宋"/>
          <w:color w:val="auto"/>
          <w:sz w:val="24"/>
          <w:u w:val="none"/>
          <w:lang w:val="en-US" w:eastAsia="zh-CN"/>
        </w:rPr>
        <w:t xml:space="preserve">； </w:t>
      </w:r>
    </w:p>
    <w:p w14:paraId="3BC6DF92">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如监理和发包人管理人员发现有不安全因素存在且未采取预防保护的，承包人应视为违约</w:t>
      </w:r>
      <w:r>
        <w:rPr>
          <w:rFonts w:hint="eastAsia" w:ascii="仿宋" w:hAnsi="仿宋" w:eastAsia="仿宋" w:cs="仿宋"/>
          <w:color w:val="auto"/>
          <w:sz w:val="24"/>
          <w:u w:val="none"/>
          <w:lang w:val="en-US" w:eastAsia="zh-CN"/>
        </w:rPr>
        <w:t xml:space="preserve">； </w:t>
      </w:r>
    </w:p>
    <w:p w14:paraId="0F634314">
      <w:pPr>
        <w:numPr>
          <w:ilvl w:val="0"/>
          <w:numId w:val="3"/>
        </w:numPr>
        <w:spacing w:line="360" w:lineRule="auto"/>
        <w:ind w:left="0" w:leftChars="0" w:firstLine="480" w:firstLineChars="200"/>
        <w:rPr>
          <w:rFonts w:hint="eastAsia" w:ascii="仿宋" w:hAnsi="仿宋" w:eastAsia="仿宋" w:cs="仿宋"/>
          <w:color w:val="auto"/>
          <w:sz w:val="24"/>
        </w:rPr>
      </w:pPr>
      <w:r>
        <w:rPr>
          <w:rFonts w:hint="eastAsia" w:ascii="仿宋" w:hAnsi="仿宋" w:eastAsia="仿宋" w:cs="仿宋"/>
          <w:color w:val="auto"/>
          <w:sz w:val="24"/>
          <w:u w:val="single"/>
          <w:lang w:val="en-US" w:eastAsia="zh-CN"/>
        </w:rPr>
        <w:t>承包人其他违反本合同及组成合同的文件约定的行为</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58A6085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16.2.2 承包人违约的责任 </w:t>
      </w:r>
    </w:p>
    <w:p w14:paraId="7910F81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承包人违约责任的承担方式和计算方法： </w:t>
      </w:r>
    </w:p>
    <w:p w14:paraId="16118C9E">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（1）</w:t>
      </w:r>
      <w:r>
        <w:rPr>
          <w:rFonts w:hint="eastAsia" w:ascii="仿宋" w:hAnsi="仿宋" w:eastAsia="仿宋" w:cs="仿宋"/>
          <w:color w:val="auto"/>
          <w:sz w:val="24"/>
          <w:u w:val="single"/>
          <w:lang w:val="en-US" w:eastAsia="zh-CN"/>
        </w:rPr>
        <w:t>因承包人原因工程质量达不到协议书约定的质量标准：承包人应按签约合同价的 10%向发包人支付质量违约金。中间验收时如果监理或具有鉴定资质的第三方认为局部或分部或分项质量不合格，承包人除应立即免费纠正、修复外，还要按该局部或分部或分项工程合同价格的 5%向发包人支付质量违约金。承包人如迟延整改或整改后仍不符合合同约定的，发包人有权解除本合同，由此造成的经济损失由承包人自行承担</w:t>
      </w:r>
      <w:r>
        <w:rPr>
          <w:rFonts w:hint="eastAsia" w:ascii="仿宋" w:hAnsi="仿宋" w:eastAsia="仿宋" w:cs="仿宋"/>
          <w:color w:val="auto"/>
          <w:sz w:val="24"/>
          <w:u w:val="none"/>
          <w:lang w:val="en-US" w:eastAsia="zh-CN"/>
        </w:rPr>
        <w:t xml:space="preserve">。 </w:t>
      </w:r>
    </w:p>
    <w:p w14:paraId="138AFB3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u w:val="single"/>
          <w:lang w:val="en-US" w:eastAsia="zh-CN"/>
        </w:rPr>
        <w:t>因承包人自身原因未按照本专用条款约定的时间及事项办理完相关手续，则承包人承担违约责任，所造成的相关主管部门的处罚由承包人承担，并每次应向发包人支付 10000 元违约金</w:t>
      </w:r>
      <w:r>
        <w:rPr>
          <w:rFonts w:hint="eastAsia" w:ascii="仿宋" w:hAnsi="仿宋" w:eastAsia="仿宋" w:cs="仿宋"/>
          <w:color w:val="auto"/>
          <w:sz w:val="24"/>
          <w:u w:val="none"/>
          <w:lang w:val="en-US" w:eastAsia="zh-CN"/>
        </w:rPr>
        <w:t xml:space="preserve">。 </w:t>
      </w:r>
    </w:p>
    <w:p w14:paraId="28B54682">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（3）</w:t>
      </w:r>
      <w:r>
        <w:rPr>
          <w:rFonts w:hint="eastAsia" w:ascii="仿宋" w:hAnsi="仿宋" w:eastAsia="仿宋" w:cs="仿宋"/>
          <w:color w:val="auto"/>
          <w:sz w:val="24"/>
          <w:u w:val="single"/>
          <w:lang w:val="en-US" w:eastAsia="zh-CN"/>
        </w:rPr>
        <w:t>如在本工程施工过程中，经发包人及工程师证实因承包人的资金问题，使工程不能如期且保质保量完成，发包人有权解除本合同；并将工程发包给有相应资质及能力的第三方完成</w:t>
      </w:r>
      <w:r>
        <w:rPr>
          <w:rFonts w:hint="eastAsia" w:ascii="仿宋" w:hAnsi="仿宋" w:eastAsia="仿宋" w:cs="仿宋"/>
          <w:color w:val="auto"/>
          <w:sz w:val="24"/>
          <w:u w:val="none"/>
          <w:lang w:val="en-US" w:eastAsia="zh-CN"/>
        </w:rPr>
        <w:t xml:space="preserve">。 </w:t>
      </w:r>
    </w:p>
    <w:p w14:paraId="3AC334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u w:val="single"/>
          <w:lang w:val="en-US" w:eastAsia="zh-CN"/>
        </w:rPr>
        <w:t>履约期间，因承包人原因导致发生项目劳务用工或村民进行上访、堵门、堵路等事件，或发生媒体、网络发布的因施工引起的不良影响事件，将视情节严重程度，由承包人按 1～5万元／次向发包人支付违约金</w:t>
      </w:r>
      <w:r>
        <w:rPr>
          <w:rFonts w:hint="eastAsia" w:ascii="仿宋" w:hAnsi="仿宋" w:eastAsia="仿宋" w:cs="仿宋"/>
          <w:color w:val="auto"/>
          <w:sz w:val="24"/>
          <w:u w:val="none"/>
          <w:lang w:val="en-US" w:eastAsia="zh-CN"/>
        </w:rPr>
        <w:t xml:space="preserve">。 </w:t>
      </w:r>
    </w:p>
    <w:p w14:paraId="1D902BA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（5）</w:t>
      </w:r>
      <w:r>
        <w:rPr>
          <w:rFonts w:hint="eastAsia" w:ascii="仿宋" w:hAnsi="仿宋" w:eastAsia="仿宋" w:cs="仿宋"/>
          <w:color w:val="auto"/>
          <w:sz w:val="24"/>
          <w:u w:val="single"/>
          <w:lang w:val="en-US" w:eastAsia="zh-CN"/>
        </w:rPr>
        <w:t>承包人擅自将本工程进行分包、转包的，承包人除应立即纠正外，还应按分包、转包工程造价的 2％向发包人支付违约金，同时发包人有权解除合同，承包人应赔偿因此给发包人造成的一切损失</w:t>
      </w:r>
      <w:r>
        <w:rPr>
          <w:rFonts w:hint="eastAsia" w:ascii="仿宋" w:hAnsi="仿宋" w:eastAsia="仿宋" w:cs="仿宋"/>
          <w:color w:val="auto"/>
          <w:sz w:val="24"/>
          <w:u w:val="none"/>
          <w:lang w:val="en-US" w:eastAsia="zh-CN"/>
        </w:rPr>
        <w:t xml:space="preserve">。 </w:t>
      </w:r>
    </w:p>
    <w:p w14:paraId="41EB0F5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u w:val="single"/>
          <w:lang w:val="en-US" w:eastAsia="zh-CN"/>
        </w:rPr>
        <w:t>如监理和发包人管理人员发现有不安全因素存在且未采取预防保护的，承包人应立即按要求整改；经指出未及时纠正，再次检查又发现问题的，则承包人应支付违约金 1000 元/项，同时发包人有权责令承包人停工整改；出现安全事故的，承包人应当承担全部责任后果</w:t>
      </w:r>
      <w:r>
        <w:rPr>
          <w:rFonts w:hint="eastAsia" w:ascii="仿宋" w:hAnsi="仿宋" w:eastAsia="仿宋" w:cs="仿宋"/>
          <w:color w:val="auto"/>
          <w:sz w:val="24"/>
          <w:u w:val="none"/>
          <w:lang w:val="en-US" w:eastAsia="zh-CN"/>
        </w:rPr>
        <w:t xml:space="preserve">。 </w:t>
      </w:r>
    </w:p>
    <w:p w14:paraId="43F31E7A">
      <w:pPr>
        <w:spacing w:line="360" w:lineRule="auto"/>
        <w:ind w:firstLine="480" w:firstLineChars="200"/>
        <w:rPr>
          <w:rFonts w:hint="eastAsia" w:ascii="仿宋" w:hAnsi="仿宋" w:eastAsia="仿宋" w:cs="仿宋"/>
          <w:color w:val="auto"/>
          <w:sz w:val="24"/>
          <w:highlight w:val="none"/>
          <w:u w:val="none"/>
          <w:lang w:val="en-US" w:eastAsia="zh-CN"/>
        </w:rPr>
      </w:pPr>
      <w:r>
        <w:rPr>
          <w:rFonts w:hint="eastAsia" w:ascii="仿宋" w:hAnsi="仿宋" w:eastAsia="仿宋" w:cs="仿宋"/>
          <w:color w:val="auto"/>
          <w:sz w:val="24"/>
          <w:lang w:val="en-US" w:eastAsia="zh-CN"/>
        </w:rPr>
        <w:t>（7）</w:t>
      </w:r>
      <w:r>
        <w:rPr>
          <w:rFonts w:hint="eastAsia" w:ascii="仿宋" w:hAnsi="仿宋" w:eastAsia="仿宋" w:cs="仿宋"/>
          <w:color w:val="auto"/>
          <w:sz w:val="24"/>
          <w:highlight w:val="none"/>
          <w:u w:val="single"/>
          <w:lang w:val="en-US" w:eastAsia="zh-CN"/>
        </w:rPr>
        <w:t>除因发包人原因造成的工期延误外，合同工期不得延误。按照中标工期及合同有关条款，工期每延误一天，罚款一千元</w:t>
      </w:r>
      <w:r>
        <w:rPr>
          <w:rFonts w:hint="eastAsia" w:ascii="仿宋" w:hAnsi="仿宋" w:eastAsia="仿宋" w:cs="仿宋"/>
          <w:color w:val="auto"/>
          <w:sz w:val="24"/>
          <w:highlight w:val="none"/>
          <w:u w:val="none"/>
          <w:lang w:val="en-US" w:eastAsia="zh-CN"/>
        </w:rPr>
        <w:t xml:space="preserve">。 </w:t>
      </w:r>
    </w:p>
    <w:p w14:paraId="78CCF13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（8）</w:t>
      </w:r>
      <w:r>
        <w:rPr>
          <w:rFonts w:hint="eastAsia" w:ascii="仿宋" w:hAnsi="仿宋" w:eastAsia="仿宋" w:cs="仿宋"/>
          <w:color w:val="auto"/>
          <w:sz w:val="24"/>
          <w:u w:val="single"/>
          <w:lang w:val="en-US" w:eastAsia="zh-CN"/>
        </w:rPr>
        <w:t>本合同约定的违约金不足以弥补发包人的实际损失的，以实际损失为准进行赔偿。实际损失的赔偿范围包括但不限于发包人的所有直接损失和为减少损失及解决纠纷而支出的诉讼费、律师费、交通费、咨询费、文件制作费、差旅费等</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068B85F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16.2.3 因承包人违约解除合同 </w:t>
      </w:r>
    </w:p>
    <w:p w14:paraId="35F8D7F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 xml:space="preserve">关于承包人违约解除合同的特别约定： </w:t>
      </w:r>
      <w:r>
        <w:rPr>
          <w:rFonts w:hint="eastAsia" w:ascii="仿宋" w:hAnsi="仿宋" w:eastAsia="仿宋" w:cs="仿宋"/>
          <w:color w:val="auto"/>
          <w:sz w:val="24"/>
          <w:u w:val="single"/>
          <w:lang w:val="en-US" w:eastAsia="zh-CN"/>
        </w:rPr>
        <w:t>除专用条款第 16.2.2 项另有约定外，出现第 16.2.1、16.2.2 项〔承包人违约的情形〕约定的违约情况时，或监理人发出整改通知后，承包人在指定的合理期限内仍不纠正违约行为或纠正后仍不符合合同约定的，发包人有权解除合同</w:t>
      </w:r>
      <w:r>
        <w:rPr>
          <w:rFonts w:hint="eastAsia" w:ascii="仿宋" w:hAnsi="仿宋" w:eastAsia="仿宋" w:cs="仿宋"/>
          <w:color w:val="auto"/>
          <w:sz w:val="24"/>
          <w:u w:val="none"/>
          <w:lang w:val="en-US" w:eastAsia="zh-CN"/>
        </w:rPr>
        <w:t xml:space="preserve">。 </w:t>
      </w:r>
    </w:p>
    <w:p w14:paraId="22E20B93">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lang w:val="en-US" w:eastAsia="zh-CN"/>
        </w:rPr>
        <w:t>发包人继续使用承包人在施工现场的材料、设备、临时工程、承包人文件和由承包人或以其名义编制的其他文件的费用承担方式：</w:t>
      </w:r>
      <w:r>
        <w:rPr>
          <w:rFonts w:hint="eastAsia" w:ascii="仿宋" w:hAnsi="仿宋" w:eastAsia="仿宋" w:cs="仿宋"/>
          <w:color w:val="auto"/>
          <w:sz w:val="24"/>
          <w:u w:val="single"/>
          <w:lang w:val="en-US" w:eastAsia="zh-CN"/>
        </w:rPr>
        <w:t xml:space="preserve"> 材料、设备按照合理成本价支付费用。临时工程、承包人文件和由承包人或以其名义编制的其他文件，发包人可继续使用，无须支付或承担费用</w:t>
      </w:r>
      <w:r>
        <w:rPr>
          <w:rFonts w:hint="eastAsia" w:ascii="仿宋" w:hAnsi="仿宋" w:eastAsia="仿宋" w:cs="仿宋"/>
          <w:color w:val="auto"/>
          <w:sz w:val="24"/>
          <w:u w:val="none"/>
          <w:lang w:val="en-US" w:eastAsia="zh-CN"/>
        </w:rPr>
        <w:t xml:space="preserve">。 </w:t>
      </w:r>
    </w:p>
    <w:p w14:paraId="3F433967">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17. 不可抗力 </w:t>
      </w:r>
    </w:p>
    <w:p w14:paraId="423C58E8">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17.1 不可抗力的确认 </w:t>
      </w:r>
    </w:p>
    <w:p w14:paraId="12A2742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除通用合同条款约定的不可抗力事件之外，视为不可抗力的其他情形：</w:t>
      </w:r>
      <w:r>
        <w:rPr>
          <w:rFonts w:hint="eastAsia" w:ascii="仿宋" w:hAnsi="仿宋" w:eastAsia="仿宋" w:cs="仿宋"/>
          <w:color w:val="auto"/>
          <w:sz w:val="24"/>
          <w:u w:val="single"/>
          <w:lang w:val="en-US" w:eastAsia="zh-CN"/>
        </w:rPr>
        <w:t>高考、中考、运动会以及政府部门发出的有碍于施工的临时性指令均不做为不可抗力事件对待；由于发生 30 年以上一遇的降雨引起的洪水灾害、雪灾造成对工程的影响，经国家有关部门鉴定后可按不可抗力对待，发生破坏性地震的属于不可抗力事件</w:t>
      </w:r>
      <w:r>
        <w:rPr>
          <w:rFonts w:hint="eastAsia" w:ascii="仿宋" w:hAnsi="仿宋" w:eastAsia="仿宋" w:cs="仿宋"/>
          <w:color w:val="auto"/>
          <w:sz w:val="24"/>
          <w:u w:val="none"/>
          <w:lang w:val="en-US" w:eastAsia="zh-CN"/>
        </w:rPr>
        <w:t xml:space="preserve">。 </w:t>
      </w:r>
    </w:p>
    <w:p w14:paraId="4A09C16F">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18. 保险 </w:t>
      </w:r>
    </w:p>
    <w:p w14:paraId="3B0A9143">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18.1 工程保险 </w:t>
      </w:r>
    </w:p>
    <w:p w14:paraId="0E75B23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关于工程保险的特别约定：</w:t>
      </w:r>
      <w:r>
        <w:rPr>
          <w:rFonts w:hint="eastAsia" w:ascii="仿宋" w:hAnsi="仿宋" w:eastAsia="仿宋" w:cs="仿宋"/>
          <w:color w:val="auto"/>
          <w:sz w:val="24"/>
          <w:u w:val="single"/>
          <w:lang w:val="en-US" w:eastAsia="zh-CN"/>
        </w:rPr>
        <w:t xml:space="preserve"> 建设主管部门要求强制保险的由承包人办理保险事宜，承包人并承担因此产生的费用</w:t>
      </w:r>
      <w:r>
        <w:rPr>
          <w:rFonts w:hint="eastAsia" w:ascii="仿宋" w:hAnsi="仿宋" w:eastAsia="仿宋" w:cs="仿宋"/>
          <w:color w:val="auto"/>
          <w:sz w:val="24"/>
          <w:u w:val="none"/>
          <w:lang w:val="en-US" w:eastAsia="zh-CN"/>
        </w:rPr>
        <w:t xml:space="preserve">。 </w:t>
      </w:r>
    </w:p>
    <w:p w14:paraId="0FD82FD4">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18.3 其他保险 </w:t>
      </w:r>
    </w:p>
    <w:p w14:paraId="0CD49C2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关于其他保险的约定：</w:t>
      </w:r>
      <w:r>
        <w:rPr>
          <w:rFonts w:hint="eastAsia" w:ascii="仿宋" w:hAnsi="仿宋" w:eastAsia="仿宋" w:cs="仿宋"/>
          <w:color w:val="auto"/>
          <w:sz w:val="24"/>
          <w:u w:val="single"/>
          <w:lang w:val="en-US" w:eastAsia="zh-CN"/>
        </w:rPr>
        <w:t xml:space="preserve"> 按通用条款第 18.3 款执行</w:t>
      </w:r>
      <w:r>
        <w:rPr>
          <w:rFonts w:hint="eastAsia" w:ascii="仿宋" w:hAnsi="仿宋" w:eastAsia="仿宋" w:cs="仿宋"/>
          <w:color w:val="auto"/>
          <w:sz w:val="24"/>
          <w:u w:val="none"/>
          <w:lang w:val="en-US" w:eastAsia="zh-CN"/>
        </w:rPr>
        <w:t xml:space="preserve">。 </w:t>
      </w:r>
    </w:p>
    <w:p w14:paraId="4783948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承包人是否应为其施工设备等办理财产保险：</w:t>
      </w:r>
      <w:r>
        <w:rPr>
          <w:rFonts w:hint="eastAsia" w:ascii="仿宋" w:hAnsi="仿宋" w:eastAsia="仿宋" w:cs="仿宋"/>
          <w:color w:val="auto"/>
          <w:sz w:val="24"/>
          <w:u w:val="single"/>
          <w:lang w:val="en-US" w:eastAsia="zh-CN"/>
        </w:rPr>
        <w:t xml:space="preserve"> 应办理</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3F3B0A07">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20. 争议解决 </w:t>
      </w:r>
    </w:p>
    <w:p w14:paraId="239129F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20.3 争议评审 </w:t>
      </w:r>
    </w:p>
    <w:p w14:paraId="271BA7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合同当事人关于本项的约定：</w:t>
      </w:r>
      <w:r>
        <w:rPr>
          <w:rFonts w:hint="eastAsia" w:ascii="仿宋" w:hAnsi="仿宋" w:eastAsia="仿宋" w:cs="仿宋"/>
          <w:color w:val="auto"/>
          <w:sz w:val="24"/>
          <w:u w:val="single"/>
          <w:lang w:val="en-US" w:eastAsia="zh-CN"/>
        </w:rPr>
        <w:t>本项目争议按照合同通用条款中和解、调解、仲裁或诉讼的方式解决，不进行争议评审</w:t>
      </w:r>
      <w:r>
        <w:rPr>
          <w:rFonts w:hint="eastAsia" w:ascii="仿宋" w:hAnsi="仿宋" w:eastAsia="仿宋" w:cs="仿宋"/>
          <w:color w:val="auto"/>
          <w:sz w:val="24"/>
          <w:u w:val="none"/>
          <w:lang w:val="en-US" w:eastAsia="zh-CN"/>
        </w:rPr>
        <w:t>。</w:t>
      </w:r>
      <w:r>
        <w:rPr>
          <w:rFonts w:hint="eastAsia" w:ascii="仿宋" w:hAnsi="仿宋" w:eastAsia="仿宋" w:cs="仿宋"/>
          <w:color w:val="auto"/>
          <w:sz w:val="24"/>
          <w:lang w:val="en-US" w:eastAsia="zh-CN"/>
        </w:rPr>
        <w:t xml:space="preserve"> </w:t>
      </w:r>
    </w:p>
    <w:p w14:paraId="2C1F1C1E">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lang w:val="en-US" w:eastAsia="zh-CN"/>
        </w:rPr>
        <w:t xml:space="preserve">20.4 仲裁或诉讼 </w:t>
      </w:r>
    </w:p>
    <w:p w14:paraId="5C0704A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因合同及合同有关事项发生的争议，按下列第</w:t>
      </w:r>
      <w:r>
        <w:rPr>
          <w:rFonts w:hint="eastAsia" w:ascii="仿宋" w:hAnsi="仿宋" w:eastAsia="仿宋" w:cs="仿宋"/>
          <w:color w:val="auto"/>
          <w:sz w:val="24"/>
          <w:u w:val="single"/>
          <w:lang w:val="en-US" w:eastAsia="zh-CN"/>
        </w:rPr>
        <w:t xml:space="preserve"> （2） </w:t>
      </w:r>
      <w:r>
        <w:rPr>
          <w:rFonts w:hint="eastAsia" w:ascii="仿宋" w:hAnsi="仿宋" w:eastAsia="仿宋" w:cs="仿宋"/>
          <w:color w:val="auto"/>
          <w:sz w:val="24"/>
          <w:lang w:val="en-US" w:eastAsia="zh-CN"/>
        </w:rPr>
        <w:t xml:space="preserve">种方式解决： </w:t>
      </w:r>
    </w:p>
    <w:p w14:paraId="6A39F55E">
      <w:pPr>
        <w:numPr>
          <w:ilvl w:val="0"/>
          <w:numId w:val="4"/>
        </w:num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向</w:t>
      </w:r>
      <w:r>
        <w:rPr>
          <w:rFonts w:hint="eastAsia" w:ascii="仿宋" w:hAnsi="仿宋" w:eastAsia="仿宋" w:cs="仿宋"/>
          <w:color w:val="auto"/>
          <w:sz w:val="24"/>
          <w:u w:val="single"/>
          <w:lang w:val="en-US" w:eastAsia="zh-CN"/>
        </w:rPr>
        <w:t xml:space="preserve">  /  </w:t>
      </w:r>
      <w:r>
        <w:rPr>
          <w:rFonts w:hint="eastAsia" w:ascii="仿宋" w:hAnsi="仿宋" w:eastAsia="仿宋" w:cs="仿宋"/>
          <w:color w:val="auto"/>
          <w:sz w:val="24"/>
          <w:lang w:val="en-US" w:eastAsia="zh-CN"/>
        </w:rPr>
        <w:t>仲裁委员会申请仲裁；</w:t>
      </w:r>
    </w:p>
    <w:p w14:paraId="36389D17">
      <w:pPr>
        <w:ind w:firstLine="480" w:firstLineChars="200"/>
        <w:rPr>
          <w:rFonts w:hint="eastAsia" w:ascii="仿宋" w:hAnsi="仿宋" w:eastAsia="仿宋" w:cs="仿宋"/>
          <w:color w:val="auto"/>
        </w:rPr>
      </w:pPr>
      <w:r>
        <w:rPr>
          <w:rFonts w:hint="eastAsia" w:ascii="仿宋" w:hAnsi="仿宋" w:eastAsia="仿宋" w:cs="仿宋"/>
          <w:color w:val="auto"/>
          <w:sz w:val="24"/>
          <w:lang w:val="en-US" w:eastAsia="zh-CN"/>
        </w:rPr>
        <w:t>（2）向</w:t>
      </w:r>
      <w:r>
        <w:rPr>
          <w:rFonts w:hint="eastAsia" w:ascii="仿宋" w:hAnsi="仿宋" w:eastAsia="仿宋" w:cs="仿宋"/>
          <w:color w:val="auto"/>
          <w:sz w:val="24"/>
          <w:u w:val="single"/>
          <w:lang w:val="en-US" w:eastAsia="zh-CN"/>
        </w:rPr>
        <w:t xml:space="preserve"> 工程所在地 </w:t>
      </w:r>
      <w:r>
        <w:rPr>
          <w:rFonts w:hint="eastAsia" w:ascii="仿宋" w:hAnsi="仿宋" w:eastAsia="仿宋" w:cs="仿宋"/>
          <w:color w:val="auto"/>
          <w:sz w:val="24"/>
          <w:lang w:val="en-US" w:eastAsia="zh-CN"/>
        </w:rPr>
        <w:t>人民法院起诉。</w:t>
      </w:r>
    </w:p>
    <w:p w14:paraId="45F822F5">
      <w:pPr>
        <w:rPr>
          <w:rFonts w:hint="eastAsia" w:ascii="仿宋" w:hAnsi="仿宋" w:eastAsia="仿宋" w:cs="仿宋"/>
          <w:color w:val="auto"/>
          <w:lang w:val="en-US" w:eastAsia="zh-CN"/>
        </w:rPr>
      </w:pPr>
      <w:r>
        <w:rPr>
          <w:rFonts w:hint="eastAsia" w:ascii="仿宋" w:hAnsi="仿宋" w:eastAsia="仿宋" w:cs="仿宋"/>
          <w:color w:val="auto"/>
          <w:lang w:val="en-US" w:eastAsia="zh-CN"/>
        </w:rPr>
        <w:br w:type="page"/>
      </w:r>
    </w:p>
    <w:p w14:paraId="5DE89241">
      <w:pPr>
        <w:widowControl/>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附件1：</w:t>
      </w:r>
    </w:p>
    <w:p w14:paraId="138058B0">
      <w:pPr>
        <w:spacing w:line="360" w:lineRule="auto"/>
        <w:ind w:firstLine="527" w:firstLineChars="250"/>
        <w:jc w:val="center"/>
        <w:rPr>
          <w:rFonts w:hint="eastAsia" w:ascii="宋体" w:hAnsi="宋体" w:eastAsia="宋体" w:cs="宋体"/>
          <w:color w:val="auto"/>
          <w:sz w:val="21"/>
          <w:szCs w:val="21"/>
        </w:rPr>
      </w:pPr>
      <w:r>
        <w:rPr>
          <w:rFonts w:hint="eastAsia" w:ascii="宋体" w:hAnsi="宋体" w:eastAsia="宋体" w:cs="宋体"/>
          <w:b/>
          <w:bCs/>
          <w:color w:val="auto"/>
          <w:sz w:val="21"/>
          <w:szCs w:val="21"/>
        </w:rPr>
        <w:t>工程质量保修书</w:t>
      </w:r>
    </w:p>
    <w:p w14:paraId="2A0E5C75">
      <w:pPr>
        <w:spacing w:line="360" w:lineRule="auto"/>
        <w:ind w:left="120" w:hanging="105" w:hangingChars="5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全称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_____________________________________</w:t>
      </w:r>
    </w:p>
    <w:p w14:paraId="5574BE7A">
      <w:pPr>
        <w:spacing w:line="360" w:lineRule="auto"/>
        <w:ind w:left="120" w:hanging="105" w:hangingChars="5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全称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__________________________________ </w:t>
      </w:r>
    </w:p>
    <w:p w14:paraId="20A7000F">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为保证____________________________________（工程名称）在合理使用期限内正常使用，发包人、承包人协商一致签订工程质量保修书。承包人在质量保修期内按照有关管理规定及双方约定承担工程质量保修责任。</w:t>
      </w:r>
    </w:p>
    <w:p w14:paraId="5868999A">
      <w:pPr>
        <w:spacing w:line="360" w:lineRule="auto"/>
        <w:jc w:val="left"/>
        <w:rPr>
          <w:rFonts w:hint="eastAsia" w:ascii="宋体" w:hAnsi="宋体" w:eastAsia="宋体" w:cs="宋体"/>
          <w:color w:val="auto"/>
          <w:sz w:val="21"/>
          <w:szCs w:val="21"/>
          <w:u w:val="single"/>
          <w:lang w:val="en-US" w:eastAsia="zh-CN"/>
        </w:rPr>
      </w:pPr>
      <w:r>
        <w:rPr>
          <w:rFonts w:hint="eastAsia" w:ascii="宋体" w:hAnsi="宋体" w:eastAsia="宋体" w:cs="宋体"/>
          <w:b/>
          <w:bCs/>
          <w:color w:val="auto"/>
          <w:sz w:val="21"/>
          <w:szCs w:val="21"/>
        </w:rPr>
        <w:t>一、工程质量保修范围和内容</w:t>
      </w:r>
      <w:r>
        <w:rPr>
          <w:rFonts w:hint="eastAsia" w:ascii="宋体" w:hAnsi="宋体" w:cs="宋体"/>
          <w:b/>
          <w:bCs/>
          <w:color w:val="auto"/>
          <w:sz w:val="21"/>
          <w:szCs w:val="21"/>
          <w:u w:val="single"/>
          <w:lang w:val="en-US" w:eastAsia="zh-CN"/>
        </w:rPr>
        <w:t xml:space="preserve">  </w:t>
      </w:r>
      <w:r>
        <w:rPr>
          <w:rFonts w:hint="eastAsia" w:ascii="宋体" w:hAnsi="宋体" w:eastAsia="宋体" w:cs="宋体"/>
          <w:color w:val="auto"/>
          <w:sz w:val="21"/>
          <w:szCs w:val="21"/>
          <w:u w:val="single"/>
        </w:rPr>
        <w:t>施工图纸范围内全部施工</w:t>
      </w:r>
      <w:r>
        <w:rPr>
          <w:rFonts w:hint="eastAsia" w:ascii="宋体" w:hAnsi="宋体" w:cs="宋体"/>
          <w:color w:val="auto"/>
          <w:sz w:val="21"/>
          <w:szCs w:val="21"/>
          <w:u w:val="single"/>
          <w:lang w:val="en-US" w:eastAsia="zh-CN"/>
        </w:rPr>
        <w:t>内容；</w:t>
      </w:r>
    </w:p>
    <w:p w14:paraId="537DB8B6">
      <w:pPr>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二、质量保修期</w:t>
      </w:r>
    </w:p>
    <w:p w14:paraId="28563586">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质量保修期自工程竣工验收合格之日起</w:t>
      </w: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年计算。分单项竣工验收的工程，按单项工程分别计算质量保修期。双方根据《建设工程质量管理条例》及国家有关规定，结合具体工程约定质量保修期如下：</w:t>
      </w:r>
    </w:p>
    <w:p w14:paraId="254CF4E5">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（1）地基基础工程、主体结构工程为设计文件规定的合理使用年限；</w:t>
      </w:r>
    </w:p>
    <w:p w14:paraId="789BA9C1">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（2）屋面防水工程、有防水要求的卫生间、房间和外墙面的防渗漏工程为：</w:t>
      </w:r>
      <w:r>
        <w:rPr>
          <w:rFonts w:hint="eastAsia" w:ascii="宋体" w:hAnsi="宋体" w:eastAsia="宋体" w:cs="宋体"/>
          <w:color w:val="auto"/>
          <w:sz w:val="21"/>
          <w:szCs w:val="21"/>
          <w:u w:val="single"/>
          <w:lang w:val="en-US" w:eastAsia="zh-CN"/>
        </w:rPr>
        <w:t>5</w:t>
      </w:r>
      <w:r>
        <w:rPr>
          <w:rFonts w:hint="eastAsia" w:ascii="宋体" w:hAnsi="宋体" w:eastAsia="宋体" w:cs="宋体"/>
          <w:color w:val="auto"/>
          <w:sz w:val="21"/>
          <w:szCs w:val="21"/>
        </w:rPr>
        <w:t>年；</w:t>
      </w:r>
    </w:p>
    <w:p w14:paraId="4189D171">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（3）电气管线工程、给排水管道、设备安装工程为：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7317C65A">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（4）供热、供冷系统工程为：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个采暖期、供冷期；</w:t>
      </w:r>
    </w:p>
    <w:p w14:paraId="1B017EAD">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（5）装饰装修工程为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64A254CB">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（6）其他项目</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72CE9C27">
      <w:pPr>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三、质量保修责任</w:t>
      </w:r>
    </w:p>
    <w:p w14:paraId="766CF8E1">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1、属于保修范围和内容的项目，承包人应在接到修理通知之日后7天内派人修理。承包人不在约定期限内派人修理，发包人可委托其他人员修理，保修费用从质量保修金内扣除。</w:t>
      </w:r>
    </w:p>
    <w:p w14:paraId="35BDF677">
      <w:pPr>
        <w:spacing w:line="360" w:lineRule="auto"/>
        <w:ind w:firstLine="481"/>
        <w:jc w:val="left"/>
        <w:rPr>
          <w:rFonts w:hint="eastAsia" w:ascii="宋体" w:hAnsi="宋体" w:eastAsia="宋体" w:cs="宋体"/>
          <w:color w:val="auto"/>
          <w:sz w:val="21"/>
          <w:szCs w:val="21"/>
        </w:rPr>
      </w:pPr>
      <w:r>
        <w:rPr>
          <w:rFonts w:hint="eastAsia" w:ascii="宋体" w:hAnsi="宋体" w:eastAsia="宋体" w:cs="宋体"/>
          <w:color w:val="auto"/>
          <w:sz w:val="21"/>
          <w:szCs w:val="21"/>
        </w:rPr>
        <w:t>2、发生须紧急抢修事故，承包人接到事故通知后，应立即到达事故现场抢修。非承包人施工质量引起的事故，抢修费用由发包人承担。</w:t>
      </w:r>
    </w:p>
    <w:p w14:paraId="04B366CE">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3、在国家规定的工程合理使用期限内，承包人确保地基基础工程和主体结构的质量。因承包人原因致使工程在合理使用期限内造成人身和财产损害的，承包人应承担损害赔偿责任。</w:t>
      </w:r>
    </w:p>
    <w:p w14:paraId="790EA20B">
      <w:pPr>
        <w:numPr>
          <w:ilvl w:val="0"/>
          <w:numId w:val="5"/>
        </w:numPr>
        <w:spacing w:line="360" w:lineRule="auto"/>
        <w:jc w:val="left"/>
        <w:rPr>
          <w:rFonts w:hint="eastAsia" w:ascii="宋体" w:hAnsi="宋体" w:eastAsia="宋体" w:cs="宋体"/>
          <w:b/>
          <w:bCs/>
          <w:color w:val="auto"/>
          <w:kern w:val="0"/>
          <w:sz w:val="21"/>
          <w:szCs w:val="21"/>
        </w:rPr>
      </w:pPr>
      <w:r>
        <w:rPr>
          <w:rFonts w:hint="eastAsia" w:ascii="宋体" w:hAnsi="宋体" w:eastAsia="宋体" w:cs="宋体"/>
          <w:b/>
          <w:bCs/>
          <w:color w:val="auto"/>
          <w:sz w:val="21"/>
          <w:szCs w:val="21"/>
        </w:rPr>
        <w:t>质量保修金的支付</w:t>
      </w:r>
    </w:p>
    <w:p w14:paraId="0EC627B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p>
    <w:p w14:paraId="2953409A">
      <w:pPr>
        <w:numPr>
          <w:ilvl w:val="0"/>
          <w:numId w:val="5"/>
        </w:numPr>
        <w:spacing w:line="360" w:lineRule="auto"/>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质量保修金的返还</w:t>
      </w:r>
    </w:p>
    <w:p w14:paraId="345AF490">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发包人在质量保修期满后14天内，将剩余保修金返还承包人。</w:t>
      </w:r>
    </w:p>
    <w:p w14:paraId="78793433">
      <w:pPr>
        <w:spacing w:line="360" w:lineRule="auto"/>
        <w:jc w:val="left"/>
        <w:rPr>
          <w:rFonts w:hint="eastAsia" w:ascii="宋体" w:hAnsi="宋体" w:eastAsia="宋体" w:cs="宋体"/>
          <w:color w:val="auto"/>
          <w:sz w:val="21"/>
          <w:szCs w:val="21"/>
        </w:rPr>
      </w:pPr>
      <w:r>
        <w:rPr>
          <w:rFonts w:hint="eastAsia" w:ascii="宋体" w:hAnsi="宋体" w:eastAsia="宋体" w:cs="宋体"/>
          <w:b/>
          <w:bCs/>
          <w:color w:val="auto"/>
          <w:sz w:val="21"/>
          <w:szCs w:val="21"/>
        </w:rPr>
        <w:t>六、其他</w:t>
      </w:r>
    </w:p>
    <w:p w14:paraId="34E4F56D">
      <w:pPr>
        <w:spacing w:line="360" w:lineRule="auto"/>
        <w:ind w:firstLine="409" w:firstLineChars="195"/>
        <w:jc w:val="left"/>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p>
    <w:p w14:paraId="7A1AB700">
      <w:pPr>
        <w:spacing w:line="360" w:lineRule="auto"/>
        <w:ind w:left="240" w:hanging="210" w:hangingChars="100"/>
        <w:jc w:val="left"/>
        <w:rPr>
          <w:rFonts w:hint="eastAsia" w:ascii="宋体" w:hAnsi="宋体" w:eastAsia="宋体" w:cs="宋体"/>
          <w:color w:val="auto"/>
          <w:sz w:val="21"/>
          <w:szCs w:val="21"/>
        </w:rPr>
      </w:pPr>
      <w:r>
        <w:rPr>
          <w:rFonts w:hint="eastAsia" w:ascii="宋体" w:hAnsi="宋体" w:eastAsia="宋体" w:cs="宋体"/>
          <w:color w:val="auto"/>
          <w:sz w:val="21"/>
          <w:szCs w:val="21"/>
        </w:rPr>
        <w:t>______________________________________________________________</w:t>
      </w:r>
    </w:p>
    <w:p w14:paraId="31780C7D">
      <w:pPr>
        <w:spacing w:line="360" w:lineRule="auto"/>
        <w:ind w:left="240" w:hanging="210" w:hangingChars="100"/>
        <w:jc w:val="left"/>
        <w:rPr>
          <w:rFonts w:hint="eastAsia" w:ascii="宋体" w:hAnsi="宋体" w:eastAsia="宋体" w:cs="宋体"/>
          <w:color w:val="auto"/>
          <w:sz w:val="21"/>
          <w:szCs w:val="21"/>
        </w:rPr>
      </w:pPr>
      <w:r>
        <w:rPr>
          <w:rFonts w:hint="eastAsia" w:ascii="宋体" w:hAnsi="宋体" w:eastAsia="宋体" w:cs="宋体"/>
          <w:color w:val="auto"/>
          <w:sz w:val="21"/>
          <w:szCs w:val="21"/>
        </w:rPr>
        <w:t>本工程质量</w:t>
      </w:r>
      <w:r>
        <w:rPr>
          <w:rFonts w:hint="eastAsia" w:ascii="宋体" w:hAnsi="宋体" w:eastAsia="宋体" w:cs="宋体"/>
          <w:color w:val="auto"/>
          <w:sz w:val="21"/>
          <w:szCs w:val="21"/>
          <w:lang w:eastAsia="zh-CN"/>
        </w:rPr>
        <w:t>保修</w:t>
      </w:r>
      <w:r>
        <w:rPr>
          <w:rFonts w:hint="eastAsia" w:ascii="宋体" w:hAnsi="宋体" w:eastAsia="宋体" w:cs="宋体"/>
          <w:color w:val="auto"/>
          <w:sz w:val="21"/>
          <w:szCs w:val="21"/>
        </w:rPr>
        <w:t>书为施工合同的附件，由施工合同发包人、承包人双方共同签订。</w:t>
      </w:r>
    </w:p>
    <w:p w14:paraId="01556A45">
      <w:pPr>
        <w:spacing w:line="360" w:lineRule="auto"/>
        <w:ind w:left="240" w:hanging="210" w:hangingChars="100"/>
        <w:jc w:val="left"/>
        <w:rPr>
          <w:rFonts w:hint="eastAsia" w:ascii="宋体" w:hAnsi="宋体" w:eastAsia="宋体" w:cs="宋体"/>
          <w:color w:val="auto"/>
          <w:sz w:val="21"/>
          <w:szCs w:val="21"/>
        </w:rPr>
      </w:pPr>
    </w:p>
    <w:p w14:paraId="785F5C7B">
      <w:pPr>
        <w:spacing w:line="360" w:lineRule="auto"/>
        <w:ind w:firstLine="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发包人（公章）：______________           承包人（公章）：____________</w:t>
      </w:r>
    </w:p>
    <w:p w14:paraId="3A763D28">
      <w:pPr>
        <w:spacing w:line="360" w:lineRule="auto"/>
        <w:ind w:firstLine="200"/>
        <w:jc w:val="left"/>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法定代表人（签字）：</w:t>
      </w:r>
    </w:p>
    <w:p w14:paraId="2652BFB2">
      <w:pPr>
        <w:pStyle w:val="5"/>
        <w:ind w:firstLine="480"/>
        <w:rPr>
          <w:rFonts w:hint="eastAsia" w:ascii="仿宋" w:hAnsi="仿宋" w:eastAsia="仿宋" w:cs="仿宋"/>
          <w:color w:val="auto"/>
          <w:lang w:val="en-US" w:eastAsia="zh-CN"/>
        </w:rPr>
      </w:pPr>
      <w:r>
        <w:rPr>
          <w:rFonts w:hint="eastAsia" w:ascii="宋体" w:hAnsi="宋体" w:eastAsia="宋体" w:cs="宋体"/>
          <w:color w:val="auto"/>
          <w:sz w:val="21"/>
          <w:szCs w:val="21"/>
        </w:rPr>
        <w:t xml:space="preserve">_____年_____月_____日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_____ 年_____月_____</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BC533">
    <w:pPr>
      <w:pStyle w:val="8"/>
      <w:spacing w:line="276" w:lineRule="auto"/>
      <w:jc w:val="both"/>
      <w:rPr>
        <w:rFonts w:hint="eastAsia"/>
        <w:b/>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79FFDF">
                          <w:pPr>
                            <w:pStyle w:val="8"/>
                          </w:pPr>
                          <w:r>
                            <w:fldChar w:fldCharType="begin"/>
                          </w:r>
                          <w:r>
                            <w:instrText xml:space="preserve"> PAGE  \* MERGEFORMAT </w:instrText>
                          </w:r>
                          <w:r>
                            <w:fldChar w:fldCharType="separate"/>
                          </w:r>
                          <w:r>
                            <w:t>35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OwyWMo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2+oc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jOwyWMoBAACbAwAADgAAAAAAAAABACAAAAAeAQAAZHJzL2Uyb0Rv&#10;Yy54bWxQSwUGAAAAAAYABgBZAQAAWgUAAAAA&#10;">
              <v:fill on="f" focussize="0,0"/>
              <v:stroke on="f"/>
              <v:imagedata o:title=""/>
              <o:lock v:ext="edit" aspectratio="f"/>
              <v:textbox inset="0mm,0mm,0mm,0mm" style="mso-fit-shape-to-text:t;">
                <w:txbxContent>
                  <w:p w14:paraId="5A79FFDF">
                    <w:pPr>
                      <w:pStyle w:val="8"/>
                    </w:pPr>
                    <w:r>
                      <w:fldChar w:fldCharType="begin"/>
                    </w:r>
                    <w:r>
                      <w:instrText xml:space="preserve"> PAGE  \* MERGEFORMAT </w:instrText>
                    </w:r>
                    <w:r>
                      <w:fldChar w:fldCharType="separate"/>
                    </w:r>
                    <w:r>
                      <w:t>35</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4DC3B7E6">
                          <w:pPr>
                            <w:pStyle w:val="8"/>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c63kzPAQAAm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LGkxDKDEz/9+H76+fv0&#10;6xtBHwrUeagw795jZuzfux7XZvIDOhPvXgaTvsiIYBzlPZ7lFX0kPD0ql9eXV5RwDJWX5XJ5lVCK&#10;p8c+QLwTzpBk1DTg9LKo7PAR4pA6paRa1t0qrfMEtf3LgZjJU6TOhw6TFfttP9LZuuaIbDocfE0t&#10;7jkl+oNFXdOOTEaYjO1k7H1QuzYvUaoH/t0+YhO5t1RhgB0L48Qyu3G70kr8ec9ZT3/U+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D5X5J0AAAAAMBAAAPAAAAAAAAAAEAIAAAACIAAABkcnMvZG93&#10;bnJldi54bWxQSwECFAAUAAAACACHTuJApzreTM8BAACZAwAADgAAAAAAAAABACAAAAAfAQAAZHJz&#10;L2Uyb0RvYy54bWxQSwUGAAAAAAYABgBZAQAAYAUAAAAA&#10;">
              <v:fill on="f" focussize="0,0"/>
              <v:stroke on="f"/>
              <v:imagedata o:title=""/>
              <o:lock v:ext="edit" aspectratio="f"/>
              <v:textbox inset="0mm,0mm,0mm,0mm" style="mso-fit-shape-to-text:t;">
                <w:txbxContent>
                  <w:p w14:paraId="4DC3B7E6">
                    <w:pPr>
                      <w:pStyle w:val="8"/>
                      <w:rPr>
                        <w:rFonts w:hint="eastAsia"/>
                      </w:rP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14:paraId="21D903B3">
                          <w:pPr>
                            <w:pStyle w:val="8"/>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qI/v5zgEAAJkDAAAOAAAAAAAAAAEAIAAAAB8BAABkcnMv&#10;ZTJvRG9jLnhtbFBLBQYAAAAABgAGAFkBAABfBQAAAAA=&#10;">
              <v:fill on="f" focussize="0,0"/>
              <v:stroke on="f"/>
              <v:imagedata o:title=""/>
              <o:lock v:ext="edit" aspectratio="f"/>
              <v:textbox inset="0mm,0mm,0mm,0mm" style="mso-fit-shape-to-text:t;">
                <w:txbxContent>
                  <w:p w14:paraId="21D903B3">
                    <w:pPr>
                      <w:pStyle w:val="8"/>
                    </w:pPr>
                  </w:p>
                </w:txbxContent>
              </v:textbox>
            </v:shape>
          </w:pict>
        </mc:Fallback>
      </mc:AlternateContent>
    </w:r>
  </w:p>
  <w:p w14:paraId="29459723">
    <w:pPr>
      <w:pStyle w:val="8"/>
      <w:spacing w:line="276" w:lineRule="auto"/>
      <w:rPr>
        <w:rFonts w:hint="eastAsia" w:ascii="宋体" w:hAnsi="宋体"/>
        <w:b/>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D83CA2"/>
    <w:multiLevelType w:val="singleLevel"/>
    <w:tmpl w:val="C5D83CA2"/>
    <w:lvl w:ilvl="0" w:tentative="0">
      <w:start w:val="1"/>
      <w:numFmt w:val="decimal"/>
      <w:suff w:val="nothing"/>
      <w:lvlText w:val="（%1）"/>
      <w:lvlJc w:val="left"/>
    </w:lvl>
  </w:abstractNum>
  <w:abstractNum w:abstractNumId="1">
    <w:nsid w:val="2ADB5505"/>
    <w:multiLevelType w:val="singleLevel"/>
    <w:tmpl w:val="2ADB5505"/>
    <w:lvl w:ilvl="0" w:tentative="0">
      <w:start w:val="1"/>
      <w:numFmt w:val="decimal"/>
      <w:suff w:val="nothing"/>
      <w:lvlText w:val="%1）"/>
      <w:lvlJc w:val="left"/>
    </w:lvl>
  </w:abstractNum>
  <w:abstractNum w:abstractNumId="2">
    <w:nsid w:val="3AC72F19"/>
    <w:multiLevelType w:val="singleLevel"/>
    <w:tmpl w:val="3AC72F19"/>
    <w:lvl w:ilvl="0" w:tentative="0">
      <w:start w:val="1"/>
      <w:numFmt w:val="decimal"/>
      <w:suff w:val="nothing"/>
      <w:lvlText w:val="(%1)"/>
      <w:lvlJc w:val="left"/>
      <w:pPr>
        <w:ind w:left="425" w:hanging="425"/>
      </w:pPr>
      <w:rPr>
        <w:rFonts w:hint="default"/>
      </w:rPr>
    </w:lvl>
  </w:abstractNum>
  <w:abstractNum w:abstractNumId="3">
    <w:nsid w:val="579B0F6F"/>
    <w:multiLevelType w:val="singleLevel"/>
    <w:tmpl w:val="579B0F6F"/>
    <w:lvl w:ilvl="0" w:tentative="0">
      <w:start w:val="4"/>
      <w:numFmt w:val="chineseCounting"/>
      <w:suff w:val="nothing"/>
      <w:lvlText w:val="%1、"/>
      <w:lvlJc w:val="left"/>
    </w:lvl>
  </w:abstractNum>
  <w:abstractNum w:abstractNumId="4">
    <w:nsid w:val="57D96993"/>
    <w:multiLevelType w:val="multilevel"/>
    <w:tmpl w:val="57D96993"/>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2NTRmOTM4NDcyYjM1NTA2NjQ5ZDJlMWVmYTYzNjAifQ=="/>
  </w:docVars>
  <w:rsids>
    <w:rsidRoot w:val="00000000"/>
    <w:rsid w:val="067508F8"/>
    <w:rsid w:val="075D328C"/>
    <w:rsid w:val="081163FE"/>
    <w:rsid w:val="094D4A91"/>
    <w:rsid w:val="0F6A032B"/>
    <w:rsid w:val="12137217"/>
    <w:rsid w:val="13877291"/>
    <w:rsid w:val="1AFA0F74"/>
    <w:rsid w:val="1B1B538A"/>
    <w:rsid w:val="227F326E"/>
    <w:rsid w:val="255B7721"/>
    <w:rsid w:val="27565D05"/>
    <w:rsid w:val="378B5C26"/>
    <w:rsid w:val="384D672F"/>
    <w:rsid w:val="3BD1010F"/>
    <w:rsid w:val="3C3A346E"/>
    <w:rsid w:val="3FCE45FA"/>
    <w:rsid w:val="49586DF5"/>
    <w:rsid w:val="4CA341B3"/>
    <w:rsid w:val="4D844549"/>
    <w:rsid w:val="4E003BA4"/>
    <w:rsid w:val="5646527C"/>
    <w:rsid w:val="588B071F"/>
    <w:rsid w:val="59F345C5"/>
    <w:rsid w:val="5E6D5B7A"/>
    <w:rsid w:val="60CF4A53"/>
    <w:rsid w:val="670B3072"/>
    <w:rsid w:val="6B120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3">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7">
    <w:name w:val="Block Text"/>
    <w:basedOn w:val="1"/>
    <w:qFormat/>
    <w:uiPriority w:val="0"/>
    <w:pPr>
      <w:spacing w:line="360" w:lineRule="auto"/>
      <w:ind w:left="1680" w:right="6" w:hanging="1199"/>
    </w:pPr>
    <w:rPr>
      <w:rFonts w:ascii="宋体" w:hAnsi="宋体"/>
      <w:sz w:val="24"/>
      <w:szCs w:val="20"/>
    </w:rPr>
  </w:style>
  <w:style w:type="paragraph" w:styleId="8">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14495</Words>
  <Characters>15320</Characters>
  <Lines>0</Lines>
  <Paragraphs>0</Paragraphs>
  <TotalTime>18</TotalTime>
  <ScaleCrop>false</ScaleCrop>
  <LinksUpToDate>false</LinksUpToDate>
  <CharactersWithSpaces>17419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2022-07-21T01:43:00Z</dcterms:created>
  <dc:creator>赢海秦成</dc:creator>
  <cp:lastModifiedBy>愿你被温柔所待</cp:lastModifiedBy>
  <dcterms:modified xsi:type="dcterms:W3CDTF">2026-01-21T06:37:53Z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51AD8B0039104FD08842E82CF6CD3665</vt:lpwstr>
  </property>
  <property fmtid="{D5CDD505-2E9C-101B-9397-08002B2CF9AE}" pid="4" name="KSOTemplateDocerSaveRecord">
    <vt:lpwstr>eyJoZGlkIjoiNWZkNzA2ZGNjNGNhZDhkZjBiNTVjMjc1ZGQyNjQ3ZGEiLCJ1c2VySWQiOiIyODc5ODQ3MTMifQ==</vt:lpwstr>
  </property>
</Properties>
</file>